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color w:val="000000"/>
          <w:position w:val="6"/>
          <w:sz w:val="22"/>
          <w:szCs w:val="22"/>
          <w:u w:val="single"/>
        </w:rPr>
        <w:t>ANEXO IV</w:t>
      </w:r>
    </w:p>
    <w:p>
      <w:pPr>
        <w:pStyle w:val="Normal"/>
        <w:jc w:val="both"/>
        <w:rPr>
          <w:b/>
          <w:b/>
          <w:bCs/>
          <w:color w:val="000000"/>
          <w:sz w:val="22"/>
          <w:szCs w:val="22"/>
          <w:u w:val="single"/>
        </w:rPr>
      </w:pPr>
      <w:r>
        <w:rPr>
          <w:b/>
          <w:bCs/>
          <w:color w:val="000000"/>
          <w:sz w:val="22"/>
          <w:szCs w:val="22"/>
          <w:u w:val="single"/>
        </w:rPr>
      </w:r>
    </w:p>
    <w:p>
      <w:pPr>
        <w:pStyle w:val="Normal"/>
        <w:jc w:val="both"/>
        <w:rPr/>
      </w:pPr>
      <w:r>
        <w:rPr>
          <w:b/>
          <w:bCs/>
          <w:color w:val="000000"/>
          <w:sz w:val="22"/>
          <w:szCs w:val="22"/>
          <w:u w:val="single"/>
        </w:rPr>
        <w:t>Requisitos de los candidatos</w:t>
      </w:r>
    </w:p>
    <w:p>
      <w:pPr>
        <w:pStyle w:val="Normal"/>
        <w:jc w:val="both"/>
        <w:rPr>
          <w:color w:val="000000"/>
          <w:sz w:val="22"/>
          <w:szCs w:val="22"/>
        </w:rPr>
      </w:pPr>
      <w:r>
        <w:rPr>
          <w:color w:val="000000"/>
          <w:sz w:val="22"/>
          <w:szCs w:val="22"/>
        </w:rPr>
      </w:r>
    </w:p>
    <w:p>
      <w:pPr>
        <w:pStyle w:val="ListParagraph"/>
        <w:numPr>
          <w:ilvl w:val="0"/>
          <w:numId w:val="2"/>
        </w:numPr>
        <w:jc w:val="both"/>
        <w:rPr>
          <w:color w:val="000000"/>
          <w:sz w:val="22"/>
          <w:szCs w:val="22"/>
        </w:rPr>
      </w:pPr>
      <w:r>
        <w:rPr>
          <w:color w:val="000000"/>
          <w:sz w:val="22"/>
          <w:szCs w:val="22"/>
        </w:rPr>
        <w:t>Para participar en el proceso selectivo es necesario reunir los siguientes requisitos:</w:t>
      </w:r>
    </w:p>
    <w:p>
      <w:pPr>
        <w:pStyle w:val="ListParagraph"/>
        <w:ind w:left="360" w:hanging="0"/>
        <w:jc w:val="both"/>
        <w:rPr>
          <w:color w:val="000000"/>
          <w:sz w:val="22"/>
          <w:szCs w:val="22"/>
        </w:rPr>
      </w:pPr>
      <w:r>
        <w:rPr>
          <w:color w:val="000000"/>
          <w:sz w:val="22"/>
          <w:szCs w:val="22"/>
        </w:rPr>
      </w:r>
    </w:p>
    <w:p>
      <w:pPr>
        <w:pStyle w:val="ListParagraph"/>
        <w:numPr>
          <w:ilvl w:val="0"/>
          <w:numId w:val="1"/>
        </w:numPr>
        <w:shd w:val="clear" w:color="auto" w:fill="FFFFFF"/>
        <w:spacing w:beforeAutospacing="1" w:afterAutospacing="1"/>
        <w:ind w:left="714" w:hanging="357"/>
        <w:contextualSpacing/>
        <w:jc w:val="both"/>
        <w:rPr>
          <w:rFonts w:cs="Arial"/>
          <w:sz w:val="22"/>
          <w:szCs w:val="22"/>
        </w:rPr>
      </w:pPr>
      <w:r>
        <w:rPr>
          <w:rFonts w:cs="Arial"/>
          <w:sz w:val="22"/>
          <w:szCs w:val="22"/>
        </w:rPr>
        <w:t>Poseer la nacionalidad española, sin perjuicio de lo dispuesto en el Real Decreto Legislativo 5/2015, de 30 de octubre, por el que se aprueba el texto refundido de la Ley del Estatuto Básico del Empleado Público, en cuanto al acceso al empleo público de nacionales de otros Estados.</w:t>
      </w:r>
    </w:p>
    <w:p>
      <w:pPr>
        <w:pStyle w:val="ListParagraph"/>
        <w:shd w:val="clear" w:color="auto" w:fill="FFFFFF"/>
        <w:spacing w:beforeAutospacing="1" w:afterAutospacing="1"/>
        <w:ind w:left="714" w:hanging="0"/>
        <w:contextualSpacing/>
        <w:jc w:val="both"/>
        <w:rPr>
          <w:rFonts w:cs="Arial"/>
          <w:sz w:val="22"/>
          <w:szCs w:val="22"/>
        </w:rPr>
      </w:pPr>
      <w:r>
        <w:rPr>
          <w:rFonts w:cs="Arial"/>
          <w:sz w:val="22"/>
          <w:szCs w:val="22"/>
        </w:rPr>
      </w:r>
    </w:p>
    <w:p>
      <w:pPr>
        <w:pStyle w:val="ListParagraph"/>
        <w:numPr>
          <w:ilvl w:val="0"/>
          <w:numId w:val="1"/>
        </w:numPr>
        <w:shd w:val="clear" w:color="auto" w:fill="FFFFFF"/>
        <w:spacing w:beforeAutospacing="1" w:afterAutospacing="1"/>
        <w:ind w:left="714" w:hanging="357"/>
        <w:contextualSpacing/>
        <w:jc w:val="both"/>
        <w:rPr>
          <w:rFonts w:cs="Arial"/>
          <w:sz w:val="22"/>
          <w:szCs w:val="22"/>
        </w:rPr>
      </w:pPr>
      <w:r>
        <w:rPr>
          <w:rFonts w:cs="Arial"/>
          <w:sz w:val="22"/>
          <w:szCs w:val="22"/>
        </w:rPr>
        <w:t>Estar en posesión del título oficial requerido en la convocatoria, expedido por el Ministerio de Educación, o en condiciones de obtenerlo dentro del plazo de presentación de solicitudes. En caso de titulaciones obtenidas en el extranjero, se deberá estar en posesión de la credencial que acredite su homologación por el Ministerio de Educación, o en condiciones de obtenerla dentro del plazo de presentación de solicitudes.</w:t>
      </w:r>
    </w:p>
    <w:p>
      <w:pPr>
        <w:pStyle w:val="ListParagraph"/>
        <w:rPr>
          <w:rFonts w:cs="Arial"/>
          <w:sz w:val="22"/>
          <w:szCs w:val="22"/>
        </w:rPr>
      </w:pPr>
      <w:r>
        <w:rPr>
          <w:rFonts w:cs="Arial"/>
          <w:sz w:val="22"/>
          <w:szCs w:val="22"/>
        </w:rPr>
      </w:r>
    </w:p>
    <w:p>
      <w:pPr>
        <w:pStyle w:val="ListParagraph"/>
        <w:numPr>
          <w:ilvl w:val="0"/>
          <w:numId w:val="1"/>
        </w:numPr>
        <w:shd w:val="clear" w:color="auto" w:fill="FFFFFF"/>
        <w:spacing w:beforeAutospacing="1" w:afterAutospacing="1"/>
        <w:ind w:left="714" w:hanging="357"/>
        <w:contextualSpacing/>
        <w:jc w:val="both"/>
        <w:rPr>
          <w:rFonts w:cs="Arial"/>
          <w:sz w:val="22"/>
          <w:szCs w:val="22"/>
        </w:rPr>
      </w:pPr>
      <w:r>
        <w:rPr>
          <w:rFonts w:cs="Arial"/>
          <w:sz w:val="22"/>
          <w:szCs w:val="22"/>
        </w:rPr>
        <w:t>Poseer la capacidad funcional necesaria para el desempeño de las funciones y tareas propias de la categoría y especialidad convocada.</w:t>
      </w:r>
    </w:p>
    <w:p>
      <w:pPr>
        <w:pStyle w:val="ListParagraph"/>
        <w:rPr>
          <w:rFonts w:cs="Arial"/>
          <w:sz w:val="22"/>
          <w:szCs w:val="22"/>
        </w:rPr>
      </w:pPr>
      <w:r>
        <w:rPr>
          <w:rFonts w:cs="Arial"/>
          <w:sz w:val="22"/>
          <w:szCs w:val="22"/>
        </w:rPr>
      </w:r>
    </w:p>
    <w:p>
      <w:pPr>
        <w:pStyle w:val="ListParagraph"/>
        <w:numPr>
          <w:ilvl w:val="0"/>
          <w:numId w:val="1"/>
        </w:numPr>
        <w:shd w:val="clear" w:color="auto" w:fill="FFFFFF"/>
        <w:spacing w:beforeAutospacing="1" w:afterAutospacing="1"/>
        <w:ind w:left="714" w:hanging="357"/>
        <w:contextualSpacing/>
        <w:jc w:val="both"/>
        <w:rPr>
          <w:rFonts w:cs="Arial"/>
          <w:sz w:val="22"/>
          <w:szCs w:val="22"/>
        </w:rPr>
      </w:pPr>
      <w:r>
        <w:rPr>
          <w:rFonts w:cs="Arial"/>
          <w:sz w:val="22"/>
          <w:szCs w:val="22"/>
        </w:rPr>
        <w:t>Tener cumplidos dieciocho años, y no exceder de la edad de jubilación forzosa.</w:t>
      </w:r>
    </w:p>
    <w:p>
      <w:pPr>
        <w:pStyle w:val="ListParagraph"/>
        <w:rPr>
          <w:rFonts w:cs="Arial"/>
          <w:sz w:val="22"/>
          <w:szCs w:val="22"/>
        </w:rPr>
      </w:pPr>
      <w:r>
        <w:rPr>
          <w:rFonts w:cs="Arial"/>
          <w:sz w:val="22"/>
          <w:szCs w:val="22"/>
        </w:rPr>
      </w:r>
    </w:p>
    <w:p>
      <w:pPr>
        <w:pStyle w:val="ListParagraph"/>
        <w:numPr>
          <w:ilvl w:val="0"/>
          <w:numId w:val="1"/>
        </w:numPr>
        <w:shd w:val="clear" w:color="auto" w:fill="FFFFFF"/>
        <w:spacing w:beforeAutospacing="1" w:afterAutospacing="1"/>
        <w:ind w:left="714" w:hanging="357"/>
        <w:contextualSpacing/>
        <w:jc w:val="both"/>
        <w:rPr>
          <w:rFonts w:cs="Arial"/>
          <w:sz w:val="22"/>
          <w:szCs w:val="22"/>
        </w:rPr>
      </w:pPr>
      <w:r>
        <w:rPr>
          <w:rFonts w:cs="Arial"/>
          <w:sz w:val="22"/>
          <w:szCs w:val="22"/>
        </w:rPr>
        <w:t>No haber sido separado del servicio, mediante expediente disciplinario, de cualquier Servicio de Salud o Administración Pública, en los seis años anteriores, ni hallarse inhabilitado con carácter firme para el ejercicio de funciones públicas, ni para el ejercicio de la profesión de Médico. En el caso de los nacionales de otros Estados mencionados en el apartado A), no hallarse inhabilitado o en situación equivalente, ni haber sido sometido a sanción disciplinaria o equivalente, que impida, en su Estado, en los mismos términos el acceso al empleo público.</w:t>
      </w:r>
    </w:p>
    <w:p>
      <w:pPr>
        <w:pStyle w:val="ListParagraph"/>
        <w:rPr>
          <w:rFonts w:cs="Arial"/>
          <w:sz w:val="22"/>
          <w:szCs w:val="22"/>
        </w:rPr>
      </w:pPr>
      <w:r>
        <w:rPr>
          <w:rFonts w:cs="Arial"/>
          <w:sz w:val="22"/>
          <w:szCs w:val="22"/>
        </w:rPr>
      </w:r>
    </w:p>
    <w:p>
      <w:pPr>
        <w:pStyle w:val="ListParagraph"/>
        <w:numPr>
          <w:ilvl w:val="0"/>
          <w:numId w:val="1"/>
        </w:numPr>
        <w:shd w:val="clear" w:color="auto" w:fill="FFFFFF"/>
        <w:spacing w:beforeAutospacing="1" w:afterAutospacing="1"/>
        <w:ind w:left="714" w:hanging="357"/>
        <w:contextualSpacing/>
        <w:jc w:val="both"/>
        <w:rPr>
          <w:rFonts w:cs="Arial"/>
          <w:sz w:val="22"/>
          <w:szCs w:val="22"/>
        </w:rPr>
      </w:pPr>
      <w:r>
        <w:rPr>
          <w:rFonts w:cs="Arial"/>
          <w:sz w:val="22"/>
          <w:szCs w:val="22"/>
        </w:rPr>
        <w:t>No tener la condición de personal estatutario fijo, ya sea en activo o en excedencia, de la misma categoría y especialidad convocada, en el Sistema Nacional de Salud.</w:t>
      </w:r>
    </w:p>
    <w:p>
      <w:pPr>
        <w:pStyle w:val="Normal"/>
        <w:shd w:val="clear" w:color="auto" w:fill="FFFFFF"/>
        <w:spacing w:beforeAutospacing="1" w:afterAutospacing="1"/>
        <w:ind w:left="357" w:hanging="0"/>
        <w:jc w:val="both"/>
        <w:rPr>
          <w:rFonts w:cs="Arial"/>
          <w:sz w:val="22"/>
          <w:szCs w:val="22"/>
        </w:rPr>
      </w:pPr>
      <w:r>
        <w:rPr>
          <w:rFonts w:cs="Arial"/>
          <w:sz w:val="22"/>
          <w:szCs w:val="22"/>
        </w:rPr>
        <w:t>Los requisitos exigidos en esta base deberán poseerse el día de finalización del plazo de presentación de solicitudes, y mantenerse hasta el momento del nombramiento como personal estatutario.</w:t>
      </w:r>
    </w:p>
    <w:p>
      <w:pPr>
        <w:pStyle w:val="ListParagraph"/>
        <w:numPr>
          <w:ilvl w:val="0"/>
          <w:numId w:val="2"/>
        </w:numPr>
        <w:shd w:val="clear" w:color="auto" w:fill="FFFFFF"/>
        <w:spacing w:beforeAutospacing="1" w:afterAutospacing="1"/>
        <w:contextualSpacing/>
        <w:jc w:val="both"/>
        <w:rPr>
          <w:rFonts w:cs="Arial"/>
          <w:sz w:val="22"/>
          <w:szCs w:val="22"/>
        </w:rPr>
      </w:pPr>
      <w:r>
        <w:rPr>
          <w:rFonts w:cs="Arial"/>
          <w:sz w:val="22"/>
          <w:szCs w:val="22"/>
        </w:rPr>
        <w:t>Los nombramientos como personal estatutario están sometidos a la Ley 53/1994 de 26 de diciembre y demás normas aplicables en materia de incompatibilidades así como al cumplimiento de la normativa establecida en materia de colegiación profesional.</w:t>
      </w:r>
    </w:p>
    <w:p>
      <w:pPr>
        <w:pStyle w:val="Normal"/>
        <w:shd w:val="clear" w:color="auto" w:fill="FFFFFF"/>
        <w:spacing w:beforeAutospacing="1" w:after="120"/>
        <w:ind w:left="360" w:hanging="0"/>
        <w:jc w:val="both"/>
        <w:rPr>
          <w:color w:val="000000"/>
          <w:sz w:val="22"/>
          <w:szCs w:val="22"/>
        </w:rPr>
      </w:pPr>
      <w:r>
        <w:rPr>
          <w:color w:val="000000"/>
          <w:sz w:val="22"/>
          <w:szCs w:val="22"/>
        </w:rPr>
        <w:t>De no reunir dichos requisitos será excluido/a de la Lista de seleccionados.</w:t>
      </w:r>
    </w:p>
    <w:p>
      <w:pPr>
        <w:pStyle w:val="Normal"/>
        <w:shd w:val="clear" w:color="auto" w:fill="FFFFFF"/>
        <w:spacing w:beforeAutospacing="1" w:after="120"/>
        <w:jc w:val="both"/>
        <w:rPr>
          <w:color w:val="000000"/>
          <w:sz w:val="22"/>
          <w:szCs w:val="22"/>
        </w:rPr>
      </w:pPr>
      <w:r>
        <w:rPr>
          <w:color w:val="000000"/>
          <w:sz w:val="22"/>
          <w:szCs w:val="22"/>
        </w:rPr>
      </w:r>
    </w:p>
    <w:p>
      <w:pPr>
        <w:pStyle w:val="Normal"/>
        <w:shd w:val="clear" w:color="auto" w:fill="FFFFFF"/>
        <w:spacing w:beforeAutospacing="1" w:after="120"/>
        <w:jc w:val="right"/>
        <w:rPr/>
      </w:pPr>
      <w:r>
        <w:rPr>
          <w:color w:val="000000"/>
          <w:sz w:val="22"/>
          <w:szCs w:val="22"/>
        </w:rPr>
        <w:t xml:space="preserve">Zaragoza, </w:t>
      </w:r>
      <w:r>
        <w:rPr>
          <w:color w:val="000000"/>
          <w:sz w:val="22"/>
          <w:szCs w:val="22"/>
        </w:rPr>
        <w:t xml:space="preserve">17 </w:t>
      </w:r>
      <w:r>
        <w:rPr>
          <w:color w:val="000000"/>
          <w:sz w:val="22"/>
          <w:szCs w:val="22"/>
        </w:rPr>
        <w:t xml:space="preserve">de </w:t>
      </w:r>
      <w:bookmarkStart w:id="0" w:name="_GoBack"/>
      <w:bookmarkEnd w:id="0"/>
      <w:r>
        <w:rPr>
          <w:color w:val="000000"/>
          <w:sz w:val="22"/>
          <w:szCs w:val="22"/>
        </w:rPr>
        <w:t>noviembre de 2021</w:t>
      </w:r>
    </w:p>
    <w:sectPr>
      <w:headerReference w:type="default" r:id="rId2"/>
      <w:footerReference w:type="default" r:id="rId3"/>
      <w:type w:val="nextPage"/>
      <w:pgSz w:w="11906" w:h="16838"/>
      <w:pgMar w:left="851" w:right="737" w:header="964" w:top="2835" w:footer="743" w:bottom="80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ill Sans">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2269" w:type="dxa"/>
      <w:jc w:val="left"/>
      <w:tblInd w:w="212" w:type="dxa"/>
      <w:tblCellMar>
        <w:top w:w="0" w:type="dxa"/>
        <w:left w:w="70" w:type="dxa"/>
        <w:bottom w:w="0" w:type="dxa"/>
        <w:right w:w="70" w:type="dxa"/>
      </w:tblCellMar>
      <w:tblLook w:firstRow="0" w:noVBand="0" w:lastRow="0" w:firstColumn="0" w:lastColumn="0" w:noHBand="0" w:val="0000"/>
    </w:tblPr>
    <w:tblGrid>
      <w:gridCol w:w="2269"/>
    </w:tblGrid>
    <w:tr>
      <w:trPr>
        <w:trHeight w:val="200" w:hRule="atLeast"/>
        <w:cantSplit w:val="true"/>
      </w:trPr>
      <w:tc>
        <w:tcPr>
          <w:tcW w:w="2269" w:type="dxa"/>
          <w:tcBorders>
            <w:top w:val="single" w:sz="6" w:space="0" w:color="000000"/>
            <w:left w:val="single" w:sz="6" w:space="0" w:color="000000"/>
            <w:bottom w:val="single" w:sz="6" w:space="0" w:color="000000"/>
            <w:right w:val="single" w:sz="6" w:space="0" w:color="000000"/>
          </w:tcBorders>
          <w:shd w:fill="auto" w:val="clear"/>
          <w:vAlign w:val="center"/>
        </w:tcPr>
        <w:p>
          <w:pPr>
            <w:pStyle w:val="Piedepgina"/>
            <w:tabs>
              <w:tab w:val="left" w:pos="284" w:leader="none"/>
              <w:tab w:val="center" w:pos="4419" w:leader="none"/>
              <w:tab w:val="right" w:pos="8838" w:leader="none"/>
            </w:tabs>
            <w:jc w:val="center"/>
            <w:rPr>
              <w:sz w:val="13"/>
              <w:szCs w:val="13"/>
              <w:lang w:val="es-ES_tradnl"/>
            </w:rPr>
          </w:pPr>
          <w:r>
            <mc:AlternateContent>
              <mc:Choice Requires="wps">
                <w:drawing>
                  <wp:anchor behindDoc="1" distT="0" distB="0" distL="0" distR="0" simplePos="0" locked="0" layoutInCell="1" allowOverlap="1" relativeHeight="2">
                    <wp:simplePos x="0" y="0"/>
                    <wp:positionH relativeFrom="column">
                      <wp:posOffset>5584190</wp:posOffset>
                    </wp:positionH>
                    <wp:positionV relativeFrom="paragraph">
                      <wp:posOffset>-73025</wp:posOffset>
                    </wp:positionV>
                    <wp:extent cx="1374775" cy="441325"/>
                    <wp:effectExtent l="0" t="0" r="0" b="0"/>
                    <wp:wrapNone/>
                    <wp:docPr id="2" name="Rectangle 2"/>
                    <a:graphic xmlns:a="http://schemas.openxmlformats.org/drawingml/2006/main">
                      <a:graphicData uri="http://schemas.microsoft.com/office/word/2010/wordprocessingShape">
                        <wps:wsp>
                          <wps:cNvSpPr/>
                          <wps:spPr>
                            <a:xfrm>
                              <a:off x="0" y="0"/>
                              <a:ext cx="1374120" cy="440640"/>
                            </a:xfrm>
                            <a:prstGeom prst="rect">
                              <a:avLst/>
                            </a:prstGeom>
                            <a:noFill/>
                            <a:ln>
                              <a:noFill/>
                            </a:ln>
                          </wps:spPr>
                          <wps:style>
                            <a:lnRef idx="0"/>
                            <a:fillRef idx="0"/>
                            <a:effectRef idx="0"/>
                            <a:fontRef idx="minor"/>
                          </wps:style>
                          <wps:txbx>
                            <w:txbxContent>
                              <w:p>
                                <w:pPr>
                                  <w:pStyle w:val="Contenidodelmarco"/>
                                  <w:spacing w:lineRule="exact" w:line="144"/>
                                  <w:rPr>
                                    <w:spacing w:val="20"/>
                                    <w:lang w:val="es-ES_tradnl"/>
                                  </w:rPr>
                                </w:pPr>
                                <w:r>
                                  <w:rPr>
                                    <w:color w:val="000000"/>
                                    <w:spacing w:val="20"/>
                                    <w:lang w:val="es-ES_tradnl"/>
                                  </w:rPr>
                                  <w:t>VIA IBERICA, 1-15</w:t>
                                </w:r>
                              </w:p>
                              <w:p>
                                <w:pPr>
                                  <w:pStyle w:val="Cabecera"/>
                                  <w:tabs>
                                    <w:tab w:val="clear" w:pos="4419"/>
                                    <w:tab w:val="clear" w:pos="8838"/>
                                  </w:tabs>
                                  <w:spacing w:lineRule="exact" w:line="144"/>
                                  <w:rPr>
                                    <w:lang w:val="es-ES_tradnl"/>
                                  </w:rPr>
                                </w:pPr>
                                <w:r>
                                  <w:rPr>
                                    <w:color w:val="000000"/>
                                    <w:lang w:val="es-ES_tradnl"/>
                                  </w:rPr>
                                  <w:t>50009 ZARAGOZA</w:t>
                                </w:r>
                              </w:p>
                              <w:p>
                                <w:pPr>
                                  <w:pStyle w:val="Cabecera"/>
                                  <w:tabs>
                                    <w:tab w:val="clear" w:pos="4419"/>
                                    <w:tab w:val="clear" w:pos="8838"/>
                                  </w:tabs>
                                  <w:spacing w:lineRule="exact" w:line="144"/>
                                  <w:rPr>
                                    <w:lang w:val="es-ES_tradnl"/>
                                  </w:rPr>
                                </w:pPr>
                                <w:r>
                                  <w:rPr>
                                    <w:color w:val="000000"/>
                                    <w:lang w:val="es-ES_tradnl"/>
                                  </w:rPr>
                                  <w:t>TEL.: 976305008</w:t>
                                </w:r>
                              </w:p>
                              <w:p>
                                <w:pPr>
                                  <w:pStyle w:val="Cabecera"/>
                                  <w:tabs>
                                    <w:tab w:val="clear" w:pos="4419"/>
                                    <w:tab w:val="clear" w:pos="8838"/>
                                  </w:tabs>
                                  <w:spacing w:lineRule="exact" w:line="144"/>
                                  <w:rPr>
                                    <w:spacing w:val="20"/>
                                    <w:lang w:val="es-ES_tradnl"/>
                                  </w:rPr>
                                </w:pPr>
                                <w:r>
                                  <w:rPr>
                                    <w:color w:val="000000"/>
                                    <w:spacing w:val="20"/>
                                    <w:lang w:val="es-ES_tradnl"/>
                                  </w:rPr>
                                  <w:t>FAX.:976305073</w:t>
                                </w:r>
                              </w:p>
                            </w:txbxContent>
                          </wps:txbx>
                          <wps:bodyPr lIns="0" rIns="0" tIns="0" bIns="0">
                            <a:noAutofit/>
                          </wps:bodyPr>
                        </wps:wsp>
                      </a:graphicData>
                    </a:graphic>
                  </wp:anchor>
                </w:drawing>
              </mc:Choice>
              <mc:Fallback>
                <w:pict>
                  <v:rect id="shape_0" ID="Rectangle 2" stroked="f" style="position:absolute;margin-left:439.7pt;margin-top:-5.75pt;width:108.15pt;height:34.65pt">
                    <w10:wrap type="square"/>
                    <v:fill o:detectmouseclick="t" on="false"/>
                    <v:stroke color="#3465a4" joinstyle="round" endcap="flat"/>
                    <v:textbox>
                      <w:txbxContent>
                        <w:p>
                          <w:pPr>
                            <w:pStyle w:val="Contenidodelmarco"/>
                            <w:spacing w:lineRule="exact" w:line="144"/>
                            <w:rPr>
                              <w:spacing w:val="20"/>
                              <w:lang w:val="es-ES_tradnl"/>
                            </w:rPr>
                          </w:pPr>
                          <w:r>
                            <w:rPr>
                              <w:color w:val="000000"/>
                              <w:spacing w:val="20"/>
                              <w:lang w:val="es-ES_tradnl"/>
                            </w:rPr>
                            <w:t>VIA IBERICA, 1-15</w:t>
                          </w:r>
                        </w:p>
                        <w:p>
                          <w:pPr>
                            <w:pStyle w:val="Cabecera"/>
                            <w:tabs>
                              <w:tab w:val="clear" w:pos="4419"/>
                              <w:tab w:val="clear" w:pos="8838"/>
                            </w:tabs>
                            <w:spacing w:lineRule="exact" w:line="144"/>
                            <w:rPr>
                              <w:lang w:val="es-ES_tradnl"/>
                            </w:rPr>
                          </w:pPr>
                          <w:r>
                            <w:rPr>
                              <w:color w:val="000000"/>
                              <w:lang w:val="es-ES_tradnl"/>
                            </w:rPr>
                            <w:t>50009 ZARAGOZA</w:t>
                          </w:r>
                        </w:p>
                        <w:p>
                          <w:pPr>
                            <w:pStyle w:val="Cabecera"/>
                            <w:tabs>
                              <w:tab w:val="clear" w:pos="4419"/>
                              <w:tab w:val="clear" w:pos="8838"/>
                            </w:tabs>
                            <w:spacing w:lineRule="exact" w:line="144"/>
                            <w:rPr>
                              <w:lang w:val="es-ES_tradnl"/>
                            </w:rPr>
                          </w:pPr>
                          <w:r>
                            <w:rPr>
                              <w:color w:val="000000"/>
                              <w:lang w:val="es-ES_tradnl"/>
                            </w:rPr>
                            <w:t>TEL.: 976305008</w:t>
                          </w:r>
                        </w:p>
                        <w:p>
                          <w:pPr>
                            <w:pStyle w:val="Cabecera"/>
                            <w:tabs>
                              <w:tab w:val="clear" w:pos="4419"/>
                              <w:tab w:val="clear" w:pos="8838"/>
                            </w:tabs>
                            <w:spacing w:lineRule="exact" w:line="144"/>
                            <w:rPr>
                              <w:spacing w:val="20"/>
                              <w:lang w:val="es-ES_tradnl"/>
                            </w:rPr>
                          </w:pPr>
                          <w:r>
                            <w:rPr>
                              <w:color w:val="000000"/>
                              <w:spacing w:val="20"/>
                              <w:lang w:val="es-ES_tradnl"/>
                            </w:rPr>
                            <w:t>FAX.:976305073</w:t>
                          </w:r>
                        </w:p>
                      </w:txbxContent>
                    </v:textbox>
                  </v:rect>
                </w:pict>
              </mc:Fallback>
            </mc:AlternateContent>
            <mc:AlternateContent>
              <mc:Choice Requires="wps">
                <w:drawing>
                  <wp:anchor behindDoc="1" distT="0" distB="0" distL="0" distR="0" simplePos="0" locked="0" layoutInCell="1" allowOverlap="1" relativeHeight="3">
                    <wp:simplePos x="0" y="0"/>
                    <wp:positionH relativeFrom="margin">
                      <wp:posOffset>5492115</wp:posOffset>
                    </wp:positionH>
                    <wp:positionV relativeFrom="paragraph">
                      <wp:posOffset>-160655</wp:posOffset>
                    </wp:positionV>
                    <wp:extent cx="3175" cy="635"/>
                    <wp:effectExtent l="0" t="0" r="0" b="0"/>
                    <wp:wrapNone/>
                    <wp:docPr id="4" name="Line 3"/>
                    <a:graphic xmlns:a="http://schemas.openxmlformats.org/drawingml/2006/main">
                      <a:graphicData uri="http://schemas.microsoft.com/office/word/2010/wordprocessingShape">
                        <wps:wsp>
                          <wps:cNvSpPr/>
                          <wps:spPr>
                            <a:xfrm flipH="1">
                              <a:off x="0" y="0"/>
                              <a:ext cx="2520" cy="0"/>
                            </a:xfrm>
                            <a:prstGeom prst="line">
                              <a:avLst/>
                            </a:prstGeom>
                            <a:ln w="6480">
                              <a:solidFill>
                                <a:srgbClr val="333333"/>
                              </a:solidFill>
                              <a:round/>
                            </a:ln>
                          </wps:spPr>
                          <wps:style>
                            <a:lnRef idx="0"/>
                            <a:fillRef idx="0"/>
                            <a:effectRef idx="0"/>
                            <a:fontRef idx="minor"/>
                          </wps:style>
                          <wps:bodyPr/>
                        </wps:wsp>
                      </a:graphicData>
                    </a:graphic>
                  </wp:anchor>
                </w:drawing>
              </mc:Choice>
              <mc:Fallback>
                <w:pict>
                  <v:line id="shape_0" from="432.45pt,-12.65pt" to="432.6pt,-12.65pt" ID="Line 3" stroked="t" style="position:absolute;flip:x;mso-position-horizontal-relative:margin">
                    <v:stroke color="#333333" weight="6480" joinstyle="round" endcap="flat"/>
                    <v:fill o:detectmouseclick="t" on="false"/>
                  </v:line>
                </w:pict>
              </mc:Fallback>
            </mc:AlternateContent>
          </w:r>
          <w:r>
            <w:rPr>
              <w:position w:val="-1"/>
              <w:sz w:val="13"/>
              <w:lang w:val="es-ES_tradnl"/>
            </w:rPr>
            <w:t>C</w:t>
          </w:r>
          <w:r>
            <w:rPr>
              <w:position w:val="-1"/>
              <w:sz w:val="13"/>
              <w:szCs w:val="13"/>
              <w:lang w:val="es-ES_tradnl"/>
            </w:rPr>
            <w:t>ORREO ELECTRÓNICO:</w:t>
          </w:r>
        </w:p>
      </w:tc>
    </w:tr>
    <w:tr>
      <w:trPr>
        <w:trHeight w:val="294" w:hRule="atLeast"/>
        <w:cantSplit w:val="true"/>
      </w:trPr>
      <w:tc>
        <w:tcPr>
          <w:tcW w:w="2269" w:type="dxa"/>
          <w:tcBorders/>
          <w:shd w:fill="auto" w:val="clear"/>
          <w:vAlign w:val="center"/>
        </w:tcPr>
        <w:p>
          <w:pPr>
            <w:pStyle w:val="Piedepgina"/>
            <w:tabs>
              <w:tab w:val="left" w:pos="284" w:leader="none"/>
              <w:tab w:val="center" w:pos="4419" w:leader="none"/>
              <w:tab w:val="right" w:pos="8838" w:leader="none"/>
            </w:tabs>
            <w:jc w:val="center"/>
            <w:rPr>
              <w:lang w:val="es-ES_tradnl"/>
            </w:rPr>
          </w:pPr>
          <w:r>
            <w:rPr>
              <w:sz w:val="13"/>
              <w:szCs w:val="13"/>
              <w:lang w:val="es-ES_tradnl"/>
            </w:rPr>
            <w:t>Personalcivil_hgdz@mde.es</w:t>
          </w:r>
        </w:p>
      </w:tc>
    </w:tr>
  </w:tbl>
  <w:p>
    <w:pPr>
      <w:pStyle w:val="Piedepgina"/>
      <w:tabs>
        <w:tab w:val="left" w:pos="284" w:leader="none"/>
        <w:tab w:val="center" w:pos="4419" w:leader="none"/>
        <w:tab w:val="right" w:pos="8838" w:leader="none"/>
      </w:tabs>
      <w:spacing w:lineRule="atLeast" w:line="40"/>
      <w:rPr>
        <w:lang w:val="es-ES_tradnl"/>
      </w:rPr>
    </w:pPr>
    <w:r>
      <w:rPr>
        <w:lang w:val="es-ES_trad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6497955" cy="100012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497955" cy="10001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56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Gill Sans" w:hAnsi="Gill Sans" w:eastAsia="Times New Roman" w:cs="Times New Roman"/>
      <w:color w:val="auto"/>
      <w:kern w:val="0"/>
      <w:sz w:val="14"/>
      <w:szCs w:val="20"/>
      <w:lang w:val="es-ES" w:eastAsia="es-ES" w:bidi="ar-SA"/>
    </w:rPr>
  </w:style>
  <w:style w:type="paragraph" w:styleId="Ttulo1">
    <w:name w:val="Heading 1"/>
    <w:basedOn w:val="Normal"/>
    <w:next w:val="Normal"/>
    <w:qFormat/>
    <w:pPr>
      <w:keepNext w:val="true"/>
      <w:tabs>
        <w:tab w:val="clear" w:pos="567"/>
        <w:tab w:val="left" w:pos="709" w:leader="none"/>
        <w:tab w:val="left" w:pos="1134" w:leader="none"/>
        <w:tab w:val="left" w:pos="1560" w:leader="none"/>
        <w:tab w:val="left" w:pos="1985" w:leader="none"/>
        <w:tab w:val="left" w:pos="2410" w:leader="none"/>
        <w:tab w:val="left" w:pos="2694" w:leader="none"/>
      </w:tabs>
      <w:ind w:left="284" w:hanging="0"/>
      <w:outlineLvl w:val="0"/>
    </w:pPr>
    <w:rPr>
      <w:b/>
      <w:kern w:val="2"/>
      <w:sz w:val="16"/>
      <w:lang w:val="es-ES_tradnl"/>
    </w:rPr>
  </w:style>
  <w:style w:type="paragraph" w:styleId="Ttulo2">
    <w:name w:val="Heading 2"/>
    <w:basedOn w:val="Normal"/>
    <w:next w:val="Normal"/>
    <w:qFormat/>
    <w:pPr>
      <w:keepNext w:val="true"/>
      <w:tabs>
        <w:tab w:val="clear" w:pos="567"/>
        <w:tab w:val="left" w:pos="284" w:leader="none"/>
      </w:tabs>
      <w:jc w:val="center"/>
      <w:outlineLvl w:val="1"/>
    </w:pPr>
    <w:rPr>
      <w:b/>
      <w:sz w:val="16"/>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qFormat/>
    <w:rsid w:val="00cb3990"/>
    <w:rPr>
      <w:rFonts w:ascii="Tahoma" w:hAnsi="Tahoma" w:cs="Tahoma"/>
      <w:sz w:val="16"/>
      <w:szCs w:val="16"/>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360"/>
      <w:jc w:val="both"/>
    </w:pPr>
    <w:rPr>
      <w:rFonts w:ascii="Times New Roman" w:hAnsi="Times New Roman"/>
      <w:sz w:val="24"/>
      <w:lang w:val="es-ES_tradnl"/>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
    <w:name w:val="Header"/>
    <w:basedOn w:val="Normal"/>
    <w:pPr>
      <w:tabs>
        <w:tab w:val="clear" w:pos="567"/>
        <w:tab w:val="center" w:pos="4419" w:leader="none"/>
        <w:tab w:val="right" w:pos="8838" w:leader="none"/>
      </w:tabs>
    </w:pPr>
    <w:rPr/>
  </w:style>
  <w:style w:type="paragraph" w:styleId="Piedepgina">
    <w:name w:val="Footer"/>
    <w:basedOn w:val="Normal"/>
    <w:pPr>
      <w:tabs>
        <w:tab w:val="clear" w:pos="567"/>
        <w:tab w:val="center" w:pos="4419" w:leader="none"/>
        <w:tab w:val="right" w:pos="8838" w:leader="none"/>
      </w:tabs>
    </w:pPr>
    <w:rPr/>
  </w:style>
  <w:style w:type="paragraph" w:styleId="Mapadeldocumento1" w:customStyle="1">
    <w:name w:val="Mapa del documento1"/>
    <w:basedOn w:val="Normal"/>
    <w:qFormat/>
    <w:pPr>
      <w:shd w:val="clear" w:color="auto" w:fill="000080"/>
    </w:pPr>
    <w:rPr>
      <w:rFonts w:ascii="Tahoma" w:hAnsi="Tahoma"/>
    </w:rPr>
  </w:style>
  <w:style w:type="paragraph" w:styleId="BalloonText">
    <w:name w:val="Balloon Text"/>
    <w:basedOn w:val="Normal"/>
    <w:link w:val="TextodegloboCar"/>
    <w:qFormat/>
    <w:rsid w:val="00cb3990"/>
    <w:pPr/>
    <w:rPr>
      <w:rFonts w:ascii="Tahoma" w:hAnsi="Tahoma" w:cs="Tahoma"/>
      <w:sz w:val="16"/>
      <w:szCs w:val="16"/>
    </w:rPr>
  </w:style>
  <w:style w:type="paragraph" w:styleId="ListParagraph">
    <w:name w:val="List Paragraph"/>
    <w:basedOn w:val="Normal"/>
    <w:uiPriority w:val="34"/>
    <w:qFormat/>
    <w:rsid w:val="001b6e2c"/>
    <w:pPr>
      <w:spacing w:before="0" w:after="0"/>
      <w:ind w:left="720" w:hanging="0"/>
      <w:contextualSpacing/>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AD59C-E163-4B6D-BA48-E28F7AD0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de Trabajo.dot</Template>
  <TotalTime>2</TotalTime>
  <Application>LibreOffice/6.2.8.2$Windows_x86 LibreOffice_project/f82ddfca21ebc1e222a662a32b25c0c9d20169ee</Application>
  <Pages>1</Pages>
  <Words>380</Words>
  <Characters>2078</Characters>
  <CharactersWithSpaces>2431</CharactersWithSpaces>
  <Paragraphs>20</Paragraphs>
  <Company>dibujo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2020-07-24T11:57:00Z</dcterms:created>
  <dc:creator>CLAVERIA GORRIA CELIA M</dc:creator>
  <dc:description>O	F	I	C	I 	O	S/REF.	N/REF.	FECHA	ASUNTO		DESTINATARIO</dc:description>
  <cp:keywords>asunto destinatario fecha</cp:keywords>
  <dc:language>es-ES</dc:language>
  <cp:lastModifiedBy/>
  <cp:lastPrinted>2019-10-28T12:40:00Z</cp:lastPrinted>
  <dcterms:modified xsi:type="dcterms:W3CDTF">2021-11-02T13:33:22Z</dcterms:modified>
  <cp:revision>8</cp:revision>
  <dc:subject/>
  <dc:title>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dibujo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