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rFonts w:ascii="Arial" w:hAnsi="Arial"/>
          <w:b/>
          <w:b/>
          <w:color w:val="auto"/>
          <w:sz w:val="24"/>
          <w:szCs w:val="24"/>
        </w:rPr>
      </w:pPr>
      <w:r>
        <w:rPr>
          <w:rFonts w:ascii="Arial" w:hAnsi="Arial"/>
          <w:b/>
          <w:color w:val="auto"/>
          <w:sz w:val="24"/>
          <w:szCs w:val="24"/>
        </w:rPr>
      </w:r>
    </w:p>
    <w:p>
      <w:pPr>
        <w:pStyle w:val="Normal"/>
        <w:spacing w:lineRule="auto" w:line="240" w:before="0" w:after="0"/>
        <w:jc w:val="center"/>
        <w:rPr>
          <w:color w:val="auto"/>
        </w:rPr>
      </w:pPr>
      <w:r>
        <w:rPr>
          <w:rFonts w:ascii="Arial" w:hAnsi="Arial"/>
          <w:b/>
          <w:color w:val="auto"/>
          <w:sz w:val="24"/>
          <w:szCs w:val="24"/>
        </w:rPr>
        <w:t>ANEXO I</w:t>
      </w:r>
    </w:p>
    <w:p>
      <w:pPr>
        <w:pStyle w:val="Normal"/>
        <w:spacing w:lineRule="auto" w:line="240" w:before="0" w:after="0"/>
        <w:jc w:val="center"/>
        <w:rPr>
          <w:rFonts w:ascii="Arial" w:hAnsi="Arial"/>
          <w:color w:val="auto"/>
          <w:sz w:val="24"/>
          <w:szCs w:val="24"/>
        </w:rPr>
      </w:pPr>
      <w:r>
        <w:rPr>
          <w:rFonts w:ascii="Arial" w:hAnsi="Arial"/>
          <w:color w:val="auto"/>
          <w:sz w:val="24"/>
          <w:szCs w:val="24"/>
        </w:rPr>
      </w:r>
    </w:p>
    <w:p>
      <w:pPr>
        <w:pStyle w:val="Normal"/>
        <w:spacing w:lineRule="auto" w:line="240" w:before="0" w:after="0"/>
        <w:jc w:val="center"/>
        <w:rPr>
          <w:rFonts w:ascii="Arial" w:hAnsi="Arial"/>
          <w:sz w:val="24"/>
          <w:szCs w:val="24"/>
        </w:rPr>
      </w:pPr>
      <w:r>
        <w:rPr>
          <w:rFonts w:ascii="Arial" w:hAnsi="Arial"/>
          <w:b/>
          <w:color w:val="auto"/>
          <w:sz w:val="24"/>
          <w:szCs w:val="24"/>
        </w:rPr>
        <w:t>DESCRIPCION DEL PROCESO SELECTIVO (F.E.A. NEFROLOGÍA)</w:t>
      </w:r>
    </w:p>
    <w:p>
      <w:pPr>
        <w:pStyle w:val="Normal"/>
        <w:spacing w:lineRule="auto" w:line="240" w:before="0" w:after="0"/>
        <w:jc w:val="center"/>
        <w:rPr>
          <w:rFonts w:ascii="Arial" w:hAnsi="Arial"/>
          <w:color w:val="auto"/>
          <w:sz w:val="24"/>
          <w:szCs w:val="24"/>
        </w:rPr>
      </w:pPr>
      <w:r>
        <w:rPr>
          <w:rFonts w:ascii="Arial" w:hAnsi="Arial"/>
          <w:color w:val="auto"/>
          <w:sz w:val="24"/>
          <w:szCs w:val="24"/>
        </w:rPr>
      </w:r>
    </w:p>
    <w:p>
      <w:pPr>
        <w:pStyle w:val="Normal"/>
        <w:spacing w:lineRule="auto" w:line="240" w:before="0" w:after="0"/>
        <w:jc w:val="center"/>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color w:val="auto"/>
          <w:sz w:val="24"/>
          <w:szCs w:val="24"/>
        </w:rPr>
        <w:t xml:space="preserve">Se convoca proceso selectivo para seleccionar candidatos para cubrir durante 2021/2022 las necesidades de personal estatuario de carácter temporal para puestos de </w:t>
      </w:r>
      <w:r>
        <w:rPr>
          <w:rFonts w:ascii="Arial" w:hAnsi="Arial"/>
          <w:color w:val="000000"/>
          <w:sz w:val="24"/>
          <w:szCs w:val="24"/>
        </w:rPr>
        <w:t>FACULTATIVO ESPECIALISTA DE ÁREA EN NEFROLOGÍA</w:t>
      </w:r>
      <w:r>
        <w:rPr>
          <w:rFonts w:ascii="Arial" w:hAnsi="Arial"/>
          <w:color w:val="auto"/>
          <w:sz w:val="24"/>
          <w:szCs w:val="24"/>
        </w:rPr>
        <w:t>. La lista de candidatos seleccionados tendrá una vigencia de dos años. No obstante, podrá prorrogarse  hasta un máximo de tres años. El proceso selectivo constará de una fase de concurso, según se detallan a continuación:</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color w:val="auto"/>
          <w:sz w:val="24"/>
          <w:szCs w:val="24"/>
          <w:u w:val="single"/>
        </w:rPr>
        <w:t xml:space="preserve">Fase de concurso: </w:t>
      </w:r>
    </w:p>
    <w:p>
      <w:pPr>
        <w:pStyle w:val="Normal"/>
        <w:spacing w:lineRule="auto" w:line="240" w:before="0" w:after="0"/>
        <w:jc w:val="both"/>
        <w:rPr>
          <w:color w:val="auto"/>
          <w:sz w:val="24"/>
          <w:szCs w:val="24"/>
        </w:rPr>
      </w:pPr>
      <w:r>
        <w:rPr>
          <w:rFonts w:ascii="Arial" w:hAnsi="Arial"/>
          <w:color w:val="auto"/>
          <w:sz w:val="24"/>
          <w:szCs w:val="24"/>
        </w:rPr>
        <w:t>En la que se tendrá en cuenta la experiencia profesional y los méritos formativos.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i/>
          <w:color w:val="auto"/>
          <w:sz w:val="24"/>
          <w:szCs w:val="24"/>
        </w:rPr>
        <w:t>A.- Méritos profesionales</w:t>
      </w:r>
      <w:r>
        <w:rPr>
          <w:rFonts w:ascii="Arial" w:hAnsi="Arial"/>
          <w:color w:val="auto"/>
          <w:sz w:val="24"/>
          <w:szCs w:val="24"/>
        </w:rPr>
        <w:t xml:space="preserve">:  </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color w:val="auto"/>
          <w:sz w:val="24"/>
          <w:szCs w:val="24"/>
        </w:rPr>
        <w:t>Comprenderá la experiencia profesional. Se entenderá por “</w:t>
      </w:r>
      <w:r>
        <w:rPr>
          <w:rFonts w:ascii="Arial" w:hAnsi="Arial"/>
          <w:i/>
          <w:color w:val="auto"/>
          <w:sz w:val="24"/>
          <w:szCs w:val="24"/>
        </w:rPr>
        <w:t>experiencia profesional</w:t>
      </w:r>
      <w:r>
        <w:rPr>
          <w:rFonts w:ascii="Arial" w:hAnsi="Arial"/>
          <w:color w:val="auto"/>
          <w:sz w:val="24"/>
          <w:szCs w:val="24"/>
        </w:rPr>
        <w:t xml:space="preserve">”, el ejercicio efectivo y legal de la profesión de </w:t>
      </w:r>
      <w:r>
        <w:rPr>
          <w:rFonts w:ascii="Arial" w:hAnsi="Arial"/>
          <w:color w:val="000000"/>
          <w:sz w:val="24"/>
          <w:szCs w:val="24"/>
        </w:rPr>
        <w:t>FACULTATIVO ESPECIALISTA DE ÁREA EN NEFRO</w:t>
      </w:r>
      <w:r>
        <w:rPr>
          <w:rFonts w:ascii="Arial" w:hAnsi="Arial"/>
          <w:color w:val="000000"/>
          <w:sz w:val="24"/>
          <w:szCs w:val="24"/>
          <w:u w:val="none"/>
        </w:rPr>
        <w:t>LOGÍA</w:t>
      </w:r>
      <w:r>
        <w:rPr>
          <w:rFonts w:ascii="Arial" w:hAnsi="Arial"/>
          <w:b/>
          <w:color w:val="auto"/>
          <w:sz w:val="24"/>
          <w:szCs w:val="24"/>
          <w:u w:val="none"/>
        </w:rPr>
        <w:t xml:space="preserve"> </w:t>
      </w:r>
      <w:r>
        <w:rPr>
          <w:rFonts w:ascii="Arial" w:hAnsi="Arial"/>
          <w:color w:val="auto"/>
          <w:sz w:val="24"/>
          <w:szCs w:val="24"/>
          <w:u w:val="none"/>
        </w:rPr>
        <w:t>con</w:t>
      </w:r>
      <w:r>
        <w:rPr>
          <w:rFonts w:ascii="Arial" w:hAnsi="Arial"/>
          <w:color w:val="auto"/>
          <w:sz w:val="24"/>
          <w:szCs w:val="24"/>
        </w:rPr>
        <w:t xml:space="preserve"> la siguiente valoración:</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numPr>
          <w:ilvl w:val="0"/>
          <w:numId w:val="1"/>
        </w:numPr>
        <w:tabs>
          <w:tab w:val="clear" w:pos="720"/>
          <w:tab w:val="left" w:pos="709" w:leader="none"/>
        </w:tabs>
        <w:spacing w:before="0" w:after="0"/>
        <w:ind w:left="709" w:hanging="282"/>
        <w:contextualSpacing/>
        <w:jc w:val="both"/>
        <w:rPr>
          <w:rFonts w:ascii="Arial" w:hAnsi="Arial"/>
          <w:sz w:val="24"/>
          <w:szCs w:val="24"/>
        </w:rPr>
      </w:pPr>
      <w:r>
        <w:rPr>
          <w:rFonts w:ascii="Arial" w:hAnsi="Arial"/>
          <w:color w:val="auto"/>
          <w:sz w:val="24"/>
          <w:szCs w:val="24"/>
        </w:rPr>
        <w:t xml:space="preserve">Experiencia </w:t>
      </w:r>
      <w:r>
        <w:rPr>
          <w:rFonts w:cs="Times New Roman" w:ascii="Arial" w:hAnsi="Arial"/>
          <w:color w:val="auto"/>
          <w:sz w:val="24"/>
          <w:szCs w:val="24"/>
        </w:rPr>
        <w:t xml:space="preserve">profesional en puestos de trabajo de </w:t>
      </w:r>
      <w:r>
        <w:rPr>
          <w:rFonts w:cs="Times New Roman" w:ascii="Arial" w:hAnsi="Arial"/>
          <w:color w:val="000000"/>
          <w:sz w:val="24"/>
          <w:szCs w:val="24"/>
        </w:rPr>
        <w:t>en la misma categoría/especialidad a la que concursa, con nombramiento en propiedad, eventual, contratado, interino o autorizado</w:t>
      </w:r>
      <w:r>
        <w:rPr>
          <w:rFonts w:cs="Times New Roman" w:ascii="Arial" w:hAnsi="Arial"/>
          <w:color w:val="auto"/>
          <w:sz w:val="24"/>
          <w:szCs w:val="24"/>
        </w:rPr>
        <w:t xml:space="preserve"> en Instituciones Sanitarias Públicas del sistema nacional de salud y en el Hospital General de la Defensa en Zaragoza u otro de la Red Hospitalaria de la Defensa: 0.033 puntos por día completo de trabajo.</w:t>
      </w:r>
    </w:p>
    <w:p>
      <w:pPr>
        <w:pStyle w:val="Normal"/>
        <w:numPr>
          <w:ilvl w:val="0"/>
          <w:numId w:val="1"/>
        </w:numPr>
        <w:tabs>
          <w:tab w:val="clear" w:pos="720"/>
          <w:tab w:val="left" w:pos="709" w:leader="none"/>
        </w:tabs>
        <w:spacing w:before="0" w:after="0"/>
        <w:ind w:left="709" w:hanging="282"/>
        <w:contextualSpacing/>
        <w:jc w:val="both"/>
        <w:rPr>
          <w:rFonts w:ascii="Arial" w:hAnsi="Arial"/>
          <w:sz w:val="24"/>
          <w:szCs w:val="24"/>
        </w:rPr>
      </w:pPr>
      <w:r>
        <w:rPr>
          <w:rFonts w:ascii="Arial" w:hAnsi="Arial"/>
          <w:color w:val="auto"/>
          <w:sz w:val="24"/>
          <w:szCs w:val="24"/>
        </w:rPr>
        <w:t xml:space="preserve">Experiencia profesional </w:t>
      </w:r>
      <w:r>
        <w:rPr>
          <w:rFonts w:cs="Times New Roman" w:ascii="Arial" w:hAnsi="Arial"/>
          <w:color w:val="auto"/>
          <w:sz w:val="24"/>
          <w:szCs w:val="24"/>
        </w:rPr>
        <w:t xml:space="preserve">en puestos de trabajo de </w:t>
      </w:r>
      <w:r>
        <w:rPr>
          <w:rFonts w:cs="Times New Roman" w:ascii="Arial" w:hAnsi="Arial"/>
          <w:color w:val="000000"/>
          <w:sz w:val="24"/>
          <w:szCs w:val="24"/>
        </w:rPr>
        <w:t xml:space="preserve">en la misma categoría/especialidad a la que concursa, con nombramiento en propiedad, eventual, contratado, interino o autorizado </w:t>
      </w:r>
      <w:r>
        <w:rPr>
          <w:rFonts w:ascii="Arial" w:hAnsi="Arial"/>
          <w:color w:val="auto"/>
          <w:sz w:val="24"/>
          <w:szCs w:val="24"/>
        </w:rPr>
        <w:t>en instituciones o Centros sanitarios en el ámbito privado: 0,011 puntos por día completo de trabajo.</w:t>
      </w:r>
    </w:p>
    <w:p>
      <w:pPr>
        <w:pStyle w:val="Normal"/>
        <w:spacing w:lineRule="auto" w:line="240" w:before="0" w:after="0"/>
        <w:ind w:left="361" w:hanging="0"/>
        <w:contextualSpacing/>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color w:val="auto"/>
          <w:sz w:val="24"/>
          <w:szCs w:val="24"/>
        </w:rPr>
        <w:t>Forma de acreditación: certificado de servicios prestados expedido por la correspondiente unidad de personal, fotocopia de nombramientos o contratos de trabajo  junto con la certificación de la vida laboral.</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color w:val="auto"/>
          <w:sz w:val="24"/>
          <w:szCs w:val="24"/>
        </w:rPr>
        <w:t>La puntuación máxima que se podrá obtener en este apartado será de 35 puntos.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hd w:val="clear" w:color="auto" w:fill="FFFFFF"/>
        <w:spacing w:lineRule="auto" w:line="240" w:before="0" w:after="0"/>
        <w:jc w:val="both"/>
        <w:rPr>
          <w:rFonts w:ascii="Arial" w:hAnsi="Arial"/>
          <w:sz w:val="24"/>
          <w:szCs w:val="24"/>
        </w:rPr>
      </w:pPr>
      <w:r>
        <w:rPr>
          <w:rFonts w:eastAsia="Times New Roman" w:cs="Arial" w:ascii="Arial" w:hAnsi="Arial"/>
          <w:b/>
          <w:i/>
          <w:color w:val="auto"/>
          <w:sz w:val="24"/>
          <w:szCs w:val="24"/>
        </w:rPr>
        <w:t>B.- Formación Académica</w:t>
      </w:r>
      <w:r>
        <w:rPr>
          <w:rFonts w:eastAsia="Times New Roman" w:cs="Arial" w:ascii="Arial" w:hAnsi="Arial"/>
          <w:color w:val="auto"/>
          <w:sz w:val="24"/>
          <w:szCs w:val="24"/>
        </w:rPr>
        <w:t xml:space="preserve"> </w:t>
      </w:r>
    </w:p>
    <w:p>
      <w:pPr>
        <w:pStyle w:val="Normal"/>
        <w:shd w:val="clear" w:color="auto" w:fill="FFFFFF"/>
        <w:spacing w:lineRule="auto" w:line="240" w:before="0" w:after="0"/>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shd w:val="clear" w:color="auto" w:fill="FFFFFF"/>
        <w:spacing w:lineRule="auto" w:line="240" w:before="0" w:after="0"/>
        <w:jc w:val="both"/>
        <w:rPr>
          <w:rFonts w:ascii="Arial" w:hAnsi="Arial"/>
          <w:sz w:val="24"/>
          <w:szCs w:val="24"/>
        </w:rPr>
      </w:pPr>
      <w:r>
        <w:rPr>
          <w:rFonts w:eastAsia="Times New Roman" w:cs="Arial" w:ascii="Arial" w:hAnsi="Arial"/>
          <w:color w:val="auto"/>
          <w:sz w:val="24"/>
          <w:szCs w:val="24"/>
        </w:rPr>
        <w:t>Los méritos a valorar serán:</w:t>
      </w:r>
    </w:p>
    <w:p>
      <w:pPr>
        <w:pStyle w:val="Normal"/>
        <w:shd w:val="clear" w:color="auto" w:fill="FFFFFF"/>
        <w:spacing w:lineRule="auto" w:line="240" w:before="0" w:after="0"/>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Pa8"/>
        <w:numPr>
          <w:ilvl w:val="0"/>
          <w:numId w:val="2"/>
        </w:numPr>
        <w:spacing w:lineRule="auto" w:line="240" w:before="0" w:after="0"/>
        <w:contextualSpacing/>
        <w:jc w:val="both"/>
        <w:rPr>
          <w:rFonts w:ascii="Calibri" w:hAnsi="Calibri"/>
          <w:sz w:val="24"/>
          <w:szCs w:val="24"/>
        </w:rPr>
      </w:pPr>
      <w:r>
        <w:rPr>
          <w:rFonts w:cs="Times New Roman"/>
          <w:color w:val="000000"/>
          <w:sz w:val="24"/>
          <w:szCs w:val="24"/>
        </w:rPr>
        <w:t>Estudios de grado. Calificación de Sobresaliente 1 punto.</w:t>
      </w:r>
    </w:p>
    <w:p>
      <w:pPr>
        <w:pStyle w:val="Default"/>
        <w:rPr>
          <w:rFonts w:ascii="Arial" w:hAnsi="Arial" w:cs="Times New Roman"/>
          <w:sz w:val="24"/>
          <w:szCs w:val="24"/>
        </w:rPr>
      </w:pPr>
      <w:r>
        <w:rPr>
          <w:rFonts w:cs="Times New Roman"/>
          <w:sz w:val="24"/>
          <w:szCs w:val="24"/>
        </w:rPr>
      </w:r>
    </w:p>
    <w:p>
      <w:pPr>
        <w:pStyle w:val="Pa8"/>
        <w:numPr>
          <w:ilvl w:val="0"/>
          <w:numId w:val="2"/>
        </w:numPr>
        <w:spacing w:lineRule="auto" w:line="240" w:before="0" w:after="0"/>
        <w:contextualSpacing/>
        <w:jc w:val="both"/>
        <w:rPr>
          <w:rFonts w:ascii="Calibri" w:hAnsi="Calibri"/>
          <w:sz w:val="24"/>
          <w:szCs w:val="24"/>
        </w:rPr>
      </w:pPr>
      <w:r>
        <w:rPr>
          <w:rFonts w:cs="Times New Roman"/>
          <w:sz w:val="24"/>
          <w:szCs w:val="24"/>
        </w:rPr>
        <w:t>Estudios de Doctorado. –Por la realización completa de todos los cursos de Doctorado (sistema anterior al Real Decreto 185/1985), o la realización del programa del Doctorado hasta el nivel de suficiencia investigadora según los Reales Decretos 185/1985 y 778/1998 o la obtención del Diploma de Estudios Avanzados (DEA): 0,5 puntos.</w:t>
      </w:r>
    </w:p>
    <w:p>
      <w:pPr>
        <w:pStyle w:val="Default"/>
        <w:spacing w:lineRule="auto" w:line="240" w:before="0" w:after="0"/>
        <w:contextualSpacing/>
        <w:jc w:val="both"/>
        <w:rPr>
          <w:rFonts w:ascii="Arial" w:hAnsi="Arial" w:cs="Times New Roman"/>
          <w:sz w:val="24"/>
          <w:szCs w:val="24"/>
        </w:rPr>
      </w:pPr>
      <w:r>
        <w:rPr>
          <w:rFonts w:cs="Times New Roman"/>
          <w:sz w:val="24"/>
          <w:szCs w:val="24"/>
        </w:rPr>
      </w:r>
    </w:p>
    <w:p>
      <w:pPr>
        <w:pStyle w:val="Default"/>
        <w:numPr>
          <w:ilvl w:val="0"/>
          <w:numId w:val="2"/>
        </w:numPr>
        <w:spacing w:lineRule="auto" w:line="240" w:before="0" w:after="0"/>
        <w:contextualSpacing/>
        <w:jc w:val="both"/>
        <w:rPr>
          <w:rFonts w:ascii="Calibri" w:hAnsi="Calibri"/>
          <w:sz w:val="24"/>
          <w:szCs w:val="24"/>
        </w:rPr>
      </w:pPr>
      <w:r>
        <w:rPr>
          <w:rFonts w:cs="Times New Roman"/>
          <w:sz w:val="24"/>
          <w:szCs w:val="24"/>
        </w:rPr>
        <w:t xml:space="preserve">Grado de Doctor: </w:t>
      </w:r>
      <w:r>
        <w:rPr>
          <w:rFonts w:eastAsia="Times New Roman" w:cs="Times New Roman"/>
          <w:b w:val="false"/>
          <w:bCs w:val="false"/>
          <w:color w:val="000000"/>
          <w:sz w:val="24"/>
          <w:szCs w:val="24"/>
        </w:rPr>
        <w:t>2,5 puntos. –Si el grado de Doctor se ha obtenido con la calificación de sobresaliente «cum-laude» o «apto cum-laude por unanimidad», se sumará 1 punto.</w:t>
      </w:r>
    </w:p>
    <w:p>
      <w:pPr>
        <w:pStyle w:val="Default"/>
        <w:numPr>
          <w:ilvl w:val="0"/>
          <w:numId w:val="0"/>
        </w:numPr>
        <w:spacing w:lineRule="auto" w:line="240" w:before="0" w:after="0"/>
        <w:ind w:left="1070" w:hanging="0"/>
        <w:contextualSpacing/>
        <w:jc w:val="both"/>
        <w:rPr>
          <w:rFonts w:ascii="Arial" w:hAnsi="Arial" w:eastAsia="Times New Roman" w:cs="Times New Roman"/>
          <w:b w:val="false"/>
          <w:b w:val="false"/>
          <w:bCs w:val="false"/>
          <w:color w:val="000000"/>
          <w:sz w:val="24"/>
          <w:szCs w:val="24"/>
        </w:rPr>
      </w:pPr>
      <w:r>
        <w:rPr>
          <w:rFonts w:eastAsia="Times New Roman" w:cs="Times New Roman"/>
          <w:b w:val="false"/>
          <w:bCs w:val="false"/>
          <w:color w:val="000000"/>
          <w:sz w:val="24"/>
          <w:szCs w:val="24"/>
        </w:rPr>
      </w:r>
    </w:p>
    <w:p>
      <w:pPr>
        <w:pStyle w:val="Normal"/>
        <w:widowControl/>
        <w:shd w:val="clear" w:color="auto" w:fill="FFFFFF"/>
        <w:tabs>
          <w:tab w:val="clear" w:pos="720"/>
          <w:tab w:val="left" w:pos="567" w:leader="none"/>
        </w:tabs>
        <w:bidi w:val="0"/>
        <w:spacing w:lineRule="auto" w:line="240" w:before="0" w:after="0"/>
        <w:ind w:left="0" w:right="0" w:hanging="0"/>
        <w:jc w:val="both"/>
        <w:rPr>
          <w:rFonts w:eastAsia="Times New Roman" w:cs="Arial"/>
          <w:color w:val="auto"/>
          <w:sz w:val="24"/>
          <w:szCs w:val="24"/>
        </w:rPr>
      </w:pPr>
      <w:r>
        <w:rPr>
          <w:rFonts w:eastAsia="Times New Roman" w:cs="Arial" w:ascii="Arial" w:hAnsi="Arial"/>
          <w:color w:val="auto"/>
          <w:sz w:val="24"/>
          <w:szCs w:val="24"/>
        </w:rPr>
        <w:t>No se valorarán las asignaturas de idiomas, religión, formación política y educación física, así como aquellas que no sean específicas de la titulación de que se trate.</w:t>
      </w:r>
    </w:p>
    <w:p>
      <w:pPr>
        <w:pStyle w:val="Normal"/>
        <w:widowControl/>
        <w:shd w:val="clear" w:color="auto" w:fill="FFFFFF"/>
        <w:tabs>
          <w:tab w:val="clear" w:pos="720"/>
          <w:tab w:val="left" w:pos="567" w:leader="none"/>
        </w:tabs>
        <w:bidi w:val="0"/>
        <w:spacing w:lineRule="auto" w:line="240" w:before="0" w:after="0"/>
        <w:ind w:left="0" w:right="0" w:hanging="0"/>
        <w:jc w:val="both"/>
        <w:rPr>
          <w:rFonts w:eastAsia="Times New Roman" w:cs="Arial"/>
          <w:color w:val="auto"/>
          <w:sz w:val="24"/>
          <w:szCs w:val="24"/>
        </w:rPr>
      </w:pPr>
      <w:r>
        <w:rPr>
          <w:rFonts w:eastAsia="Times New Roman" w:cs="Arial" w:ascii="Arial" w:hAnsi="Arial"/>
          <w:color w:val="auto"/>
          <w:sz w:val="24"/>
          <w:szCs w:val="24"/>
        </w:rPr>
        <w:t>No se tendrán en cuenta aquellas asignaturas que no tengan una calificación aritmética, así como las demás de libre elección en las que se certifique apto o no apto.</w:t>
      </w:r>
    </w:p>
    <w:p>
      <w:pPr>
        <w:pStyle w:val="Normal"/>
        <w:widowControl/>
        <w:shd w:val="clear" w:color="auto" w:fill="FFFFFF"/>
        <w:tabs>
          <w:tab w:val="clear" w:pos="720"/>
          <w:tab w:val="left" w:pos="567" w:leader="none"/>
        </w:tabs>
        <w:bidi w:val="0"/>
        <w:spacing w:lineRule="auto" w:line="240" w:before="0" w:after="0"/>
        <w:ind w:left="0" w:right="0" w:hanging="0"/>
        <w:jc w:val="both"/>
        <w:rPr>
          <w:rFonts w:ascii="Arial" w:hAnsi="Arial"/>
          <w:sz w:val="24"/>
          <w:szCs w:val="24"/>
        </w:rPr>
      </w:pPr>
      <w:r>
        <w:rPr>
          <w:rFonts w:eastAsia="Times New Roman" w:cs="Arial" w:ascii="Arial" w:hAnsi="Arial"/>
          <w:color w:val="auto"/>
          <w:sz w:val="24"/>
          <w:szCs w:val="24"/>
        </w:rPr>
        <w:t>La suma de las puntuaciones se dividirá por el número total de asignaturas tenidas en cuenta en la valoración, expresando el cociente respectivo con los dos primeros decimales obtenidos. En cuanto a las asignaturas convalidadas se contabilizarán, siendo puntuadas con los 14, 12 u 8 puntos, únicamente cuando se acredite mediante certificación académica el alcance concreto de la convalidación.</w:t>
      </w:r>
    </w:p>
    <w:p>
      <w:pPr>
        <w:pStyle w:val="Normal"/>
        <w:widowControl/>
        <w:shd w:val="clear" w:color="auto" w:fill="FFFFFF"/>
        <w:tabs>
          <w:tab w:val="clear" w:pos="720"/>
          <w:tab w:val="left" w:pos="567" w:leader="none"/>
        </w:tabs>
        <w:bidi w:val="0"/>
        <w:spacing w:lineRule="auto" w:line="240" w:before="0" w:after="0"/>
        <w:ind w:left="0" w:right="0" w:hanging="0"/>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shd w:val="clear" w:color="auto" w:fill="FFFFFF"/>
        <w:tabs>
          <w:tab w:val="clear" w:pos="720"/>
          <w:tab w:val="left" w:pos="567" w:leader="none"/>
        </w:tabs>
        <w:spacing w:lineRule="auto" w:line="240" w:before="0" w:after="0"/>
        <w:ind w:firstLine="426"/>
        <w:jc w:val="both"/>
        <w:rPr>
          <w:rFonts w:ascii="Arial" w:hAnsi="Arial"/>
          <w:sz w:val="24"/>
          <w:szCs w:val="24"/>
        </w:rPr>
      </w:pPr>
      <w:r>
        <w:rPr>
          <w:rFonts w:eastAsia="Times New Roman" w:cs="Arial" w:ascii="Arial" w:hAnsi="Arial"/>
          <w:b/>
          <w:color w:val="auto"/>
          <w:sz w:val="24"/>
          <w:szCs w:val="24"/>
        </w:rPr>
        <w:t>La puntuación máxima por este apartado es de 15,00 puntos.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i/>
          <w:color w:val="auto"/>
          <w:sz w:val="24"/>
          <w:szCs w:val="24"/>
        </w:rPr>
        <w:t>C.- Los méritos formativos: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color w:val="auto"/>
          <w:sz w:val="24"/>
          <w:szCs w:val="24"/>
        </w:rPr>
        <w:t xml:space="preserve">Se valorarán los diplomas o certificados de cursos especializados en formación sanitaria, socio-sanitaria o Prevención de Riesgos Laborales y Salud Laboral, tanto presenciales como a distancia relacionados con la </w:t>
      </w:r>
      <w:bookmarkStart w:id="0" w:name="_GoBack"/>
      <w:bookmarkEnd w:id="0"/>
      <w:r>
        <w:rPr>
          <w:rFonts w:cs="Times New Roman" w:ascii="Arial" w:hAnsi="Arial"/>
          <w:b/>
          <w:color w:val="000000"/>
          <w:sz w:val="24"/>
          <w:szCs w:val="24"/>
          <w:u w:val="single"/>
        </w:rPr>
        <w:t>categoría/especialidad a la que concursa</w:t>
      </w:r>
      <w:r>
        <w:rPr>
          <w:rFonts w:ascii="Arial" w:hAnsi="Arial"/>
          <w:b/>
          <w:color w:val="auto"/>
          <w:sz w:val="24"/>
          <w:szCs w:val="24"/>
        </w:rPr>
        <w:t xml:space="preserve">, </w:t>
      </w:r>
      <w:r>
        <w:rPr>
          <w:rFonts w:ascii="Arial" w:hAnsi="Arial"/>
          <w:color w:val="auto"/>
          <w:sz w:val="24"/>
          <w:szCs w:val="24"/>
        </w:rPr>
        <w:t xml:space="preserve">obtenidos en cursos organizados por organismos de la Administración Central, Autonómica, Universidades, órganos o instituciones de las Administraciones Sanitarias Públicas, así como por Organizaciones Sindicales o Entidades sin ánimo de lucro, SALUD o bien que hayan sido acreditados y/o subvencionados por los mismos, y siempre que dichas circunstancias consten en el propio título o diploma, o bien se certifique debidamente. </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b/>
          <w:color w:val="auto"/>
          <w:sz w:val="24"/>
          <w:szCs w:val="24"/>
        </w:rPr>
        <w:t xml:space="preserve">Por cada hora acreditada 0,009 puntos. </w:t>
      </w:r>
      <w:r>
        <w:rPr>
          <w:rFonts w:ascii="Arial" w:hAnsi="Arial"/>
          <w:color w:val="auto"/>
          <w:sz w:val="24"/>
          <w:szCs w:val="24"/>
        </w:rPr>
        <w:t>1 crédito equivale a 10 horas de formación.</w:t>
      </w:r>
    </w:p>
    <w:p>
      <w:pPr>
        <w:pStyle w:val="Normal"/>
        <w:spacing w:lineRule="auto" w:line="240" w:before="0" w:after="0"/>
        <w:jc w:val="both"/>
        <w:rPr>
          <w:rFonts w:ascii="Arial" w:hAnsi="Arial" w:cs="Times New Roman"/>
          <w:color w:val="auto"/>
          <w:sz w:val="24"/>
          <w:szCs w:val="24"/>
        </w:rPr>
      </w:pPr>
      <w:r>
        <w:rPr>
          <w:rFonts w:cs="Times New Roman" w:ascii="Arial" w:hAnsi="Arial"/>
          <w:color w:val="auto"/>
          <w:sz w:val="24"/>
          <w:szCs w:val="24"/>
        </w:rPr>
      </w:r>
    </w:p>
    <w:p>
      <w:pPr>
        <w:pStyle w:val="Normal"/>
        <w:spacing w:lineRule="auto" w:line="240" w:before="0" w:after="0"/>
        <w:jc w:val="both"/>
        <w:rPr>
          <w:rFonts w:ascii="Arial" w:hAnsi="Arial"/>
          <w:sz w:val="24"/>
          <w:szCs w:val="24"/>
        </w:rPr>
      </w:pPr>
      <w:r>
        <w:rPr>
          <w:rFonts w:cs="Times New Roman" w:ascii="Arial" w:hAnsi="Arial"/>
          <w:color w:val="000000"/>
          <w:sz w:val="24"/>
          <w:szCs w:val="24"/>
        </w:rPr>
        <w:t>Por servicios prestados como docente de pregrado o postgrado, relacionados con la actividad sanitaria, en centros acreditados para la docencia, por cada año de docencia: 1 punto y hasta un máximo de 2 puntos.</w:t>
      </w:r>
    </w:p>
    <w:p>
      <w:pPr>
        <w:pStyle w:val="Normal"/>
        <w:spacing w:lineRule="auto" w:line="240" w:before="0" w:after="0"/>
        <w:jc w:val="both"/>
        <w:rPr>
          <w:rFonts w:ascii="Arial" w:hAnsi="Arial" w:cs="Times New Roman"/>
          <w:color w:val="000000"/>
          <w:sz w:val="24"/>
          <w:szCs w:val="24"/>
        </w:rPr>
      </w:pPr>
      <w:r>
        <w:rPr>
          <w:rFonts w:cs="Times New Roman" w:ascii="Arial" w:hAnsi="Arial"/>
          <w:color w:val="000000"/>
          <w:sz w:val="24"/>
          <w:szCs w:val="24"/>
        </w:rPr>
      </w:r>
    </w:p>
    <w:p>
      <w:pPr>
        <w:pStyle w:val="Pa8"/>
        <w:spacing w:lineRule="auto" w:line="240" w:before="0" w:after="0"/>
        <w:ind w:hanging="0"/>
        <w:contextualSpacing/>
        <w:jc w:val="both"/>
        <w:rPr>
          <w:rFonts w:ascii="Arial" w:hAnsi="Arial"/>
          <w:sz w:val="24"/>
          <w:szCs w:val="24"/>
        </w:rPr>
      </w:pPr>
      <w:r>
        <w:rPr>
          <w:rFonts w:cs="Times New Roman"/>
          <w:color w:val="000000"/>
          <w:sz w:val="24"/>
          <w:szCs w:val="24"/>
        </w:rPr>
        <w:t>Por servicios prestados como docente en cursos de postgrado, acreditados por organismos oficiales, centros universitarios, escuelas de salud pública, instituciones sanitarias, colegios profesionales, sociedades científicas y organizaciones sindicales: 0,1 puntos por cada 10 horas lectivas y hasta un máximo de 1 punto.</w:t>
      </w:r>
    </w:p>
    <w:p>
      <w:pPr>
        <w:pStyle w:val="Default"/>
        <w:spacing w:lineRule="auto" w:line="240" w:before="0" w:after="0"/>
        <w:ind w:hanging="0"/>
        <w:contextualSpacing/>
        <w:jc w:val="both"/>
        <w:rPr>
          <w:rFonts w:ascii="Arial" w:hAnsi="Arial" w:cs="Times New Roman"/>
          <w:color w:val="000000"/>
          <w:sz w:val="24"/>
          <w:szCs w:val="24"/>
        </w:rPr>
      </w:pPr>
      <w:r>
        <w:rPr>
          <w:rFonts w:cs="Times New Roman"/>
          <w:color w:val="000000"/>
          <w:sz w:val="24"/>
          <w:szCs w:val="24"/>
        </w:rPr>
      </w:r>
    </w:p>
    <w:p>
      <w:pPr>
        <w:pStyle w:val="Pa8"/>
        <w:spacing w:lineRule="auto" w:line="240" w:before="0" w:after="0"/>
        <w:ind w:hanging="0"/>
        <w:contextualSpacing/>
        <w:jc w:val="both"/>
        <w:rPr>
          <w:rFonts w:ascii="Arial" w:hAnsi="Arial"/>
          <w:sz w:val="24"/>
          <w:szCs w:val="24"/>
        </w:rPr>
      </w:pPr>
      <w:r>
        <w:rPr>
          <w:rFonts w:cs="Times New Roman"/>
          <w:color w:val="000000"/>
          <w:sz w:val="24"/>
          <w:szCs w:val="24"/>
        </w:rPr>
        <w:t>Por trabajos científicos y de investigación directamente relacionados con la categoría a la que se concursa, de acuerdo con la siguiente tabla de valoración.</w:t>
      </w:r>
    </w:p>
    <w:p>
      <w:pPr>
        <w:pStyle w:val="Pa8"/>
        <w:spacing w:lineRule="auto" w:line="240" w:before="0" w:after="0"/>
        <w:ind w:left="709" w:hanging="283"/>
        <w:contextualSpacing/>
        <w:jc w:val="both"/>
        <w:rPr>
          <w:rFonts w:ascii="Arial" w:hAnsi="Arial" w:cs="Times New Roman"/>
          <w:sz w:val="24"/>
          <w:szCs w:val="24"/>
        </w:rPr>
      </w:pPr>
      <w:r>
        <w:rPr>
          <w:rFonts w:cs="Times New Roman"/>
          <w:sz w:val="24"/>
          <w:szCs w:val="24"/>
        </w:rPr>
      </w:r>
    </w:p>
    <w:tbl>
      <w:tblPr>
        <w:tblW w:w="7229" w:type="dxa"/>
        <w:jc w:val="left"/>
        <w:tblInd w:w="959" w:type="dxa"/>
        <w:tblCellMar>
          <w:top w:w="0" w:type="dxa"/>
          <w:left w:w="108" w:type="dxa"/>
          <w:bottom w:w="0" w:type="dxa"/>
          <w:right w:w="108" w:type="dxa"/>
        </w:tblCellMar>
        <w:tblLook w:firstRow="0" w:noVBand="0" w:lastRow="0" w:firstColumn="0" w:lastColumn="0" w:noHBand="0" w:val="0000"/>
      </w:tblPr>
      <w:tblGrid>
        <w:gridCol w:w="4111"/>
        <w:gridCol w:w="1417"/>
        <w:gridCol w:w="1701"/>
      </w:tblGrid>
      <w:tr>
        <w:trPr>
          <w:trHeight w:val="213"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rFonts w:ascii="Arial" w:hAnsi="Arial"/>
                <w:sz w:val="24"/>
                <w:szCs w:val="24"/>
              </w:rPr>
            </w:pPr>
            <w:r>
              <w:rPr>
                <w:rFonts w:cs="Times New Roman"/>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rFonts w:ascii="Arial" w:hAnsi="Arial"/>
                <w:sz w:val="24"/>
                <w:szCs w:val="24"/>
              </w:rPr>
            </w:pPr>
            <w:r>
              <w:rPr>
                <w:rFonts w:cs="Times New Roman"/>
                <w:color w:val="000000"/>
                <w:sz w:val="24"/>
                <w:szCs w:val="24"/>
              </w:rPr>
              <w:t xml:space="preserve"> </w:t>
            </w:r>
            <w:r>
              <w:rPr>
                <w:rFonts w:cs="Times New Roman"/>
                <w:color w:val="000000"/>
                <w:sz w:val="24"/>
                <w:szCs w:val="24"/>
              </w:rPr>
              <w:t>Difusión Nacional</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rFonts w:ascii="Arial" w:hAnsi="Arial"/>
                <w:sz w:val="24"/>
                <w:szCs w:val="24"/>
              </w:rPr>
            </w:pPr>
            <w:r>
              <w:rPr>
                <w:rFonts w:cs="Times New Roman"/>
                <w:color w:val="000000"/>
                <w:sz w:val="24"/>
                <w:szCs w:val="24"/>
              </w:rPr>
              <w:t>Difusión Internacional</w:t>
            </w:r>
          </w:p>
        </w:tc>
      </w:tr>
      <w:tr>
        <w:trPr>
          <w:trHeight w:val="457" w:hRule="atLeast"/>
        </w:trPr>
        <w:tc>
          <w:tcPr>
            <w:tcW w:w="4111" w:type="dxa"/>
            <w:tcBorders>
              <w:top w:val="single" w:sz="4" w:space="0" w:color="000000"/>
              <w:left w:val="single" w:sz="4" w:space="0" w:color="000000"/>
              <w:bottom w:val="single" w:sz="4" w:space="0" w:color="000000"/>
              <w:right w:val="single" w:sz="4" w:space="0" w:color="000000"/>
            </w:tcBorders>
            <w:shd w:fill="auto" w:val="clear"/>
            <w:vAlign w:val="bottom"/>
          </w:tcPr>
          <w:p>
            <w:pPr>
              <w:pStyle w:val="Pa16"/>
              <w:spacing w:lineRule="auto" w:line="240" w:before="0" w:after="0"/>
              <w:ind w:left="34" w:firstLine="16"/>
              <w:contextualSpacing/>
              <w:jc w:val="both"/>
              <w:rPr>
                <w:rFonts w:ascii="Arial" w:hAnsi="Arial"/>
                <w:sz w:val="24"/>
                <w:szCs w:val="24"/>
              </w:rPr>
            </w:pPr>
            <w:r>
              <w:rPr>
                <w:rFonts w:cs="Times New Roman"/>
                <w:color w:val="000000"/>
                <w:sz w:val="24"/>
                <w:szCs w:val="24"/>
              </w:rPr>
              <w:t>Publicación revista de la sociedad española de la especialidad correspondiente.</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before="0" w:after="0"/>
              <w:contextualSpacing/>
              <w:jc w:val="center"/>
              <w:rPr>
                <w:rFonts w:ascii="Arial" w:hAnsi="Arial"/>
                <w:sz w:val="24"/>
                <w:szCs w:val="24"/>
              </w:rPr>
            </w:pPr>
            <w:r>
              <w:rPr>
                <w:rFonts w:cs="Times New Roman"/>
                <w:sz w:val="24"/>
                <w:szCs w:val="24"/>
              </w:rPr>
              <w:t>0,12</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Pa17"/>
              <w:spacing w:lineRule="auto" w:line="240" w:before="0" w:after="0"/>
              <w:contextualSpacing/>
              <w:jc w:val="center"/>
              <w:rPr>
                <w:rFonts w:ascii="Arial" w:hAnsi="Arial"/>
                <w:sz w:val="24"/>
                <w:szCs w:val="24"/>
              </w:rPr>
            </w:pPr>
            <w:r>
              <w:rPr>
                <w:rFonts w:cs="Times New Roman"/>
                <w:color w:val="000000"/>
                <w:sz w:val="24"/>
                <w:szCs w:val="24"/>
              </w:rPr>
              <w:t>0,25</w:t>
            </w:r>
          </w:p>
        </w:tc>
      </w:tr>
      <w:tr>
        <w:trPr>
          <w:trHeight w:val="240"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6"/>
              <w:spacing w:lineRule="auto" w:line="240" w:before="0" w:after="0"/>
              <w:ind w:left="160" w:hanging="160"/>
              <w:contextualSpacing/>
              <w:jc w:val="both"/>
              <w:rPr>
                <w:rFonts w:ascii="Arial" w:hAnsi="Arial"/>
                <w:sz w:val="24"/>
                <w:szCs w:val="24"/>
              </w:rPr>
            </w:pPr>
            <w:r>
              <w:rPr>
                <w:rFonts w:cs="Times New Roman"/>
                <w:color w:val="000000"/>
                <w:sz w:val="24"/>
                <w:szCs w:val="24"/>
              </w:rPr>
              <w:t xml:space="preserve">Capítulo libro </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0,15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0,30</w:t>
            </w:r>
          </w:p>
        </w:tc>
      </w:tr>
      <w:tr>
        <w:trPr>
          <w:trHeight w:val="240"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6"/>
              <w:spacing w:lineRule="auto" w:line="240" w:before="0" w:after="0"/>
              <w:ind w:left="160" w:hanging="160"/>
              <w:contextualSpacing/>
              <w:jc w:val="both"/>
              <w:rPr>
                <w:rFonts w:ascii="Arial" w:hAnsi="Arial"/>
                <w:sz w:val="24"/>
                <w:szCs w:val="24"/>
              </w:rPr>
            </w:pPr>
            <w:r>
              <w:rPr>
                <w:rFonts w:cs="Times New Roman"/>
                <w:color w:val="000000"/>
                <w:sz w:val="24"/>
                <w:szCs w:val="24"/>
              </w:rPr>
              <w:t>Libro completo</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0,50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1,00</w:t>
            </w:r>
          </w:p>
        </w:tc>
      </w:tr>
    </w:tbl>
    <w:p>
      <w:pPr>
        <w:pStyle w:val="Pa8"/>
        <w:numPr>
          <w:ilvl w:val="0"/>
          <w:numId w:val="0"/>
        </w:numPr>
        <w:spacing w:lineRule="auto" w:line="240" w:before="0" w:after="0"/>
        <w:ind w:left="1070" w:hanging="0"/>
        <w:contextualSpacing/>
        <w:jc w:val="both"/>
        <w:rPr>
          <w:rFonts w:ascii="Arial" w:hAnsi="Arial" w:cs="Times New Roman"/>
          <w:color w:val="000000"/>
          <w:sz w:val="24"/>
          <w:szCs w:val="24"/>
        </w:rPr>
      </w:pPr>
      <w:r>
        <w:rPr>
          <w:rFonts w:cs="Times New Roman"/>
          <w:color w:val="000000"/>
          <w:sz w:val="24"/>
          <w:szCs w:val="24"/>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sz w:val="24"/>
          <w:szCs w:val="24"/>
        </w:rPr>
      </w:pPr>
      <w:r>
        <w:rPr>
          <w:rFonts w:cs="Times New Roman"/>
          <w:color w:val="000000"/>
          <w:sz w:val="24"/>
          <w:szCs w:val="24"/>
        </w:rPr>
        <w:t>Por moderación de mesa o ponencia, debidamente acreditado: 0,30 puntos.</w:t>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cs="Times New Roman"/>
          <w:color w:val="000000"/>
          <w:sz w:val="24"/>
          <w:szCs w:val="24"/>
        </w:rPr>
      </w:pPr>
      <w:r>
        <w:rPr>
          <w:rFonts w:cs="Times New Roman"/>
          <w:color w:val="000000"/>
          <w:sz w:val="24"/>
          <w:szCs w:val="24"/>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sz w:val="24"/>
          <w:szCs w:val="24"/>
        </w:rPr>
      </w:pPr>
      <w:r>
        <w:rPr>
          <w:rFonts w:cs="Times New Roman"/>
          <w:color w:val="000000"/>
          <w:sz w:val="24"/>
          <w:szCs w:val="24"/>
        </w:rPr>
        <w:t>Por presentación de comunicaciones o pósteres a congresos sobre temas relacionados con la categoría a la que se concursa, por cada comunicación o póster, debidamente acreditado: 0,10 puntos</w:t>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cs="Times New Roman"/>
          <w:color w:val="000000"/>
          <w:sz w:val="24"/>
          <w:szCs w:val="24"/>
        </w:rPr>
      </w:pPr>
      <w:r>
        <w:rPr>
          <w:rFonts w:cs="Times New Roman"/>
          <w:color w:val="000000"/>
          <w:sz w:val="24"/>
          <w:szCs w:val="24"/>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sz w:val="24"/>
          <w:szCs w:val="24"/>
        </w:rPr>
      </w:pPr>
      <w:r>
        <w:rPr>
          <w:rFonts w:cs="Times New Roman"/>
          <w:color w:val="000000"/>
          <w:sz w:val="24"/>
          <w:szCs w:val="24"/>
        </w:rPr>
        <w:t xml:space="preserve">Por participación en comisiones técnicas en el ámbito de la atención especializada con regulación normativa y designación oficial, por cada año y comisión: 0,50 puntos. </w:t>
      </w:r>
    </w:p>
    <w:p>
      <w:pPr>
        <w:pStyle w:val="Pa8"/>
        <w:spacing w:lineRule="auto" w:line="240" w:before="0" w:after="0"/>
        <w:ind w:hanging="0"/>
        <w:contextualSpacing/>
        <w:jc w:val="both"/>
        <w:rPr>
          <w:rFonts w:ascii="Arial" w:hAnsi="Arial" w:cs="Times New Roman"/>
          <w:color w:val="000000"/>
          <w:sz w:val="24"/>
          <w:szCs w:val="24"/>
        </w:rPr>
      </w:pPr>
      <w:r>
        <w:rPr>
          <w:rFonts w:cs="Times New Roman"/>
          <w:color w:val="000000"/>
          <w:sz w:val="24"/>
          <w:szCs w:val="24"/>
        </w:rPr>
      </w:r>
    </w:p>
    <w:p>
      <w:pPr>
        <w:pStyle w:val="Pa8"/>
        <w:spacing w:lineRule="auto" w:line="240" w:before="0" w:after="0"/>
        <w:ind w:hanging="0"/>
        <w:contextualSpacing/>
        <w:jc w:val="both"/>
        <w:rPr>
          <w:rFonts w:ascii="Arial" w:hAnsi="Arial"/>
          <w:sz w:val="24"/>
          <w:szCs w:val="24"/>
        </w:rPr>
      </w:pPr>
      <w:r>
        <w:rPr>
          <w:rFonts w:cs="Times New Roman"/>
          <w:color w:val="000000"/>
          <w:sz w:val="24"/>
          <w:szCs w:val="24"/>
        </w:rPr>
        <w:t>Independientemente de la forma de obtenerlo, la puntuación máxima de este apartado será de 6 puntos.</w:t>
      </w:r>
    </w:p>
    <w:p>
      <w:pPr>
        <w:pStyle w:val="Normal"/>
        <w:spacing w:before="0" w:after="0"/>
        <w:ind w:left="709" w:hanging="0"/>
        <w:contextualSpacing/>
        <w:rPr>
          <w:rFonts w:ascii="Arial" w:hAnsi="Arial"/>
          <w:sz w:val="24"/>
          <w:szCs w:val="24"/>
        </w:rPr>
      </w:pPr>
      <w:r>
        <w:rPr>
          <w:rFonts w:ascii="Arial" w:hAnsi="Arial"/>
          <w:sz w:val="24"/>
          <w:szCs w:val="24"/>
        </w:rPr>
      </w:r>
    </w:p>
    <w:p>
      <w:pPr>
        <w:pStyle w:val="Pa6"/>
        <w:spacing w:lineRule="auto" w:line="240" w:before="0" w:after="0"/>
        <w:ind w:hanging="0"/>
        <w:contextualSpacing/>
        <w:jc w:val="both"/>
        <w:rPr>
          <w:rFonts w:ascii="Arial" w:hAnsi="Arial"/>
          <w:sz w:val="24"/>
          <w:szCs w:val="24"/>
        </w:rPr>
      </w:pPr>
      <w:r>
        <w:rPr>
          <w:rFonts w:cs="Times New Roman" w:ascii="Arial" w:hAnsi="Arial"/>
          <w:color w:val="000000"/>
          <w:sz w:val="24"/>
          <w:szCs w:val="24"/>
        </w:rPr>
        <w:t>Forma de acreditación:  fotocopia simple</w:t>
      </w:r>
      <w:r>
        <w:rPr>
          <w:rFonts w:cs="Times New Roman" w:ascii="Arial" w:hAnsi="Arial"/>
          <w:color w:val="auto"/>
          <w:sz w:val="24"/>
          <w:szCs w:val="24"/>
        </w:rPr>
        <w:t>.</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b/>
          <w:color w:val="auto"/>
          <w:sz w:val="24"/>
          <w:szCs w:val="24"/>
        </w:rPr>
        <w:t>La puntuación máxima que se podrá obtener en este apartado será de 20,00 puntos.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b/>
          <w:color w:val="auto"/>
          <w:sz w:val="24"/>
          <w:szCs w:val="24"/>
        </w:rPr>
        <w:t xml:space="preserve">En esta fase se valorarán hasta un máximo de 70 puntos. </w:t>
      </w:r>
      <w:r>
        <w:rPr>
          <w:rFonts w:ascii="Arial" w:hAnsi="Arial"/>
          <w:b w:val="false"/>
          <w:bCs w:val="false"/>
          <w:i w:val="false"/>
          <w:strike w:val="false"/>
          <w:dstrike w:val="false"/>
          <w:color w:val="auto"/>
          <w:sz w:val="24"/>
          <w:szCs w:val="24"/>
          <w:u w:val="none"/>
        </w:rPr>
        <w:t>Una vez finalizada la fase de concurso, el tribunal publicará la lista provisional de candidatos ordenados de mayor a menor puntuación. En caso de empate el orden de prelación se establecerá atendiendo a los siguientes criterios:</w:t>
      </w:r>
    </w:p>
    <w:p>
      <w:pPr>
        <w:pStyle w:val="Parrafoconapartados1"/>
        <w:numPr>
          <w:ilvl w:val="0"/>
          <w:numId w:val="0"/>
        </w:numPr>
        <w:tabs>
          <w:tab w:val="clear" w:pos="720"/>
          <w:tab w:val="left" w:pos="426" w:leader="none"/>
        </w:tabs>
        <w:ind w:left="720" w:hanging="0"/>
        <w:rPr>
          <w:rFonts w:ascii="Arial" w:hAnsi="Arial"/>
          <w:sz w:val="24"/>
          <w:szCs w:val="24"/>
        </w:rPr>
      </w:pPr>
      <w:r>
        <w:rPr>
          <w:rFonts w:ascii="Arial" w:hAnsi="Arial"/>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Arial" w:hAnsi="Arial"/>
          <w:sz w:val="24"/>
          <w:szCs w:val="24"/>
        </w:rPr>
        <w:t xml:space="preserve">1.- Mayor nota de baremo en experiencia profesional en puestos de trabajo de la misma categoría profesional y, en su caso, especialidad o actividad principal, con funciones y tareas iguales a las asignadas a la plaza a la que se opta </w:t>
      </w:r>
      <w:r>
        <w:rPr>
          <w:rFonts w:ascii="Arial" w:hAnsi="Arial"/>
          <w:b w:val="false"/>
          <w:i w:val="false"/>
          <w:strike w:val="false"/>
          <w:dstrike w:val="false"/>
          <w:sz w:val="24"/>
          <w:szCs w:val="24"/>
          <w:u w:val="none"/>
        </w:rPr>
        <w:t>en Instituciones Sanitarias Públicas del sistema nacional de salud y en el Hospital General de la Defensa en Zaragoza u otro de la Red Hospitalaria de la Defensa</w:t>
      </w:r>
      <w:r>
        <w:rPr>
          <w:rFonts w:ascii="Arial" w:hAnsi="Arial"/>
          <w:sz w:val="24"/>
          <w:szCs w:val="24"/>
        </w:rPr>
        <w:t>.</w:t>
      </w:r>
    </w:p>
    <w:p>
      <w:pPr>
        <w:pStyle w:val="Parrafoconapartados1"/>
        <w:numPr>
          <w:ilvl w:val="0"/>
          <w:numId w:val="0"/>
        </w:numPr>
        <w:tabs>
          <w:tab w:val="clear" w:pos="720"/>
          <w:tab w:val="left" w:pos="426" w:leader="none"/>
        </w:tabs>
        <w:ind w:left="720" w:hanging="0"/>
        <w:rPr>
          <w:rFonts w:ascii="Arial" w:hAnsi="Arial"/>
          <w:sz w:val="24"/>
          <w:szCs w:val="24"/>
        </w:rPr>
      </w:pPr>
      <w:r>
        <w:rPr>
          <w:rFonts w:ascii="Arial" w:hAnsi="Arial"/>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Arial" w:hAnsi="Arial"/>
          <w:sz w:val="24"/>
          <w:szCs w:val="24"/>
        </w:rPr>
        <w:t xml:space="preserve">2.- </w:t>
      </w:r>
      <w:bookmarkStart w:id="1" w:name="__DdeLink__5025_3017178405"/>
      <w:r>
        <w:rPr>
          <w:rFonts w:ascii="Arial" w:hAnsi="Arial"/>
          <w:sz w:val="24"/>
          <w:szCs w:val="24"/>
        </w:rPr>
        <w:t xml:space="preserve">Mayor nota de baremo en </w:t>
      </w:r>
      <w:bookmarkEnd w:id="1"/>
      <w:r>
        <w:rPr>
          <w:rFonts w:ascii="Arial" w:hAnsi="Arial"/>
          <w:sz w:val="24"/>
          <w:szCs w:val="24"/>
        </w:rPr>
        <w:t xml:space="preserve">experiencia profesional en puestos de trabajo de la misma categoría profesional y, en su caso, especialidad o actividad principal, con funciones y tareas iguales a las asignadas a la plaza a la que se opta </w:t>
      </w:r>
      <w:r>
        <w:rPr>
          <w:rFonts w:ascii="Arial" w:hAnsi="Arial"/>
          <w:b w:val="false"/>
          <w:i w:val="false"/>
          <w:strike w:val="false"/>
          <w:dstrike w:val="false"/>
          <w:sz w:val="24"/>
          <w:szCs w:val="24"/>
          <w:u w:val="none"/>
        </w:rPr>
        <w:t>en Instituciones de ámbito privado</w:t>
      </w:r>
      <w:r>
        <w:rPr>
          <w:rFonts w:ascii="Arial" w:hAnsi="Arial"/>
          <w:sz w:val="24"/>
          <w:szCs w:val="24"/>
        </w:rPr>
        <w:t>.</w:t>
      </w:r>
    </w:p>
    <w:p>
      <w:pPr>
        <w:pStyle w:val="Parrafoconapartados1"/>
        <w:numPr>
          <w:ilvl w:val="0"/>
          <w:numId w:val="0"/>
        </w:numPr>
        <w:tabs>
          <w:tab w:val="clear" w:pos="720"/>
          <w:tab w:val="left" w:pos="426" w:leader="none"/>
        </w:tabs>
        <w:ind w:left="720" w:hanging="0"/>
        <w:rPr>
          <w:rFonts w:ascii="Arial" w:hAnsi="Arial"/>
          <w:sz w:val="24"/>
          <w:szCs w:val="24"/>
        </w:rPr>
      </w:pPr>
      <w:r>
        <w:rPr>
          <w:rFonts w:ascii="Arial" w:hAnsi="Arial"/>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Arial" w:hAnsi="Arial"/>
          <w:b w:val="false"/>
          <w:bCs w:val="false"/>
          <w:i w:val="false"/>
          <w:strike w:val="false"/>
          <w:dstrike w:val="false"/>
          <w:sz w:val="24"/>
          <w:szCs w:val="24"/>
          <w:u w:val="none"/>
        </w:rPr>
        <w:t>3.- Mayor nota de baremo en, cursos, seminarios y congresos, por este orden.</w:t>
      </w:r>
    </w:p>
    <w:p>
      <w:pPr>
        <w:pStyle w:val="Parrafoconapartados1"/>
        <w:numPr>
          <w:ilvl w:val="0"/>
          <w:numId w:val="0"/>
        </w:numPr>
        <w:tabs>
          <w:tab w:val="clear" w:pos="720"/>
          <w:tab w:val="left" w:pos="426" w:leader="none"/>
        </w:tabs>
        <w:ind w:left="720" w:hanging="0"/>
        <w:rPr>
          <w:rFonts w:ascii="Arial" w:hAnsi="Arial"/>
          <w:b w:val="false"/>
          <w:b w:val="false"/>
          <w:bCs w:val="false"/>
          <w:i w:val="false"/>
          <w:i w:val="false"/>
          <w:strike w:val="false"/>
          <w:dstrike w:val="false"/>
          <w:sz w:val="24"/>
          <w:szCs w:val="24"/>
          <w:u w:val="none"/>
        </w:rPr>
      </w:pPr>
      <w:r>
        <w:rPr>
          <w:rFonts w:ascii="Arial" w:hAnsi="Arial"/>
          <w:b w:val="false"/>
          <w:bCs w:val="false"/>
          <w:i w:val="false"/>
          <w:strike w:val="false"/>
          <w:dstrike w:val="false"/>
          <w:sz w:val="24"/>
          <w:szCs w:val="24"/>
          <w:u w:val="none"/>
        </w:rPr>
      </w:r>
    </w:p>
    <w:p>
      <w:pPr>
        <w:pStyle w:val="Normal"/>
        <w:spacing w:lineRule="auto" w:line="240" w:before="0" w:after="0"/>
        <w:jc w:val="both"/>
        <w:rPr>
          <w:rFonts w:ascii="Calibri" w:hAnsi="Calibri"/>
          <w:sz w:val="24"/>
          <w:szCs w:val="24"/>
        </w:rPr>
      </w:pPr>
      <w:r>
        <w:rPr>
          <w:rFonts w:ascii="Arial" w:hAnsi="Arial"/>
          <w:b w:val="false"/>
          <w:bCs w:val="false"/>
          <w:i w:val="false"/>
          <w:strike w:val="false"/>
          <w:dstrike w:val="false"/>
          <w:color w:val="auto"/>
          <w:sz w:val="24"/>
          <w:szCs w:val="24"/>
          <w:u w:val="none"/>
        </w:rPr>
        <w:t>Si una vez aplicado los criterios de desempate éste persistiera, se realizará un sorteo entre los candidatos para obtener el orden de prelación entre ellos.</w:t>
      </w:r>
    </w:p>
    <w:p>
      <w:pPr>
        <w:pStyle w:val="Normal"/>
        <w:spacing w:lineRule="auto" w:line="240" w:before="0" w:after="0"/>
        <w:jc w:val="both"/>
        <w:rPr>
          <w:b/>
          <w:b/>
          <w:color w:val="auto"/>
          <w:u w:val="single"/>
        </w:rPr>
      </w:pPr>
      <w:r>
        <w:rPr>
          <w:b/>
          <w:color w:val="auto"/>
          <w:u w:val="single"/>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pPr>
      <w:r>
        <w:rPr/>
      </w:r>
    </w:p>
    <w:sectPr>
      <w:footerReference w:type="default" r:id="rId2"/>
      <w:type w:val="nextPage"/>
      <w:pgSz w:w="12240" w:h="15840"/>
      <w:pgMar w:left="993" w:right="616" w:header="0" w:top="567" w:footer="138" w:bottom="28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right"/>
      <w:rPr/>
    </w:pPr>
    <w:r>
      <w:rPr/>
      <w:t xml:space="preserve">Página </w:t>
    </w:r>
    <w:r>
      <w:rPr/>
      <w:fldChar w:fldCharType="begin"/>
    </w:r>
    <w:r>
      <w:rPr/>
      <w:instrText> PAGE </w:instrText>
    </w:r>
    <w:r>
      <w:rPr/>
      <w:fldChar w:fldCharType="separate"/>
    </w:r>
    <w:r>
      <w:rPr/>
      <w:t>3</w:t>
    </w:r>
    <w:r>
      <w:rPr/>
      <w:fldChar w:fldCharType="end"/>
    </w:r>
    <w:r>
      <w:rPr/>
      <w:t xml:space="preserve"> de </w:t>
    </w:r>
    <w:r>
      <w:rPr/>
      <w:fldChar w:fldCharType="begin"/>
    </w:r>
    <w:r>
      <w:rPr/>
      <w:instrText> NUMPAGES </w:instrText>
    </w:r>
    <w:r>
      <w:rPr/>
      <w:fldChar w:fldCharType="separate"/>
    </w:r>
    <w:r>
      <w:rPr/>
      <w:t>3</w:t>
    </w:r>
    <w:r>
      <w:rPr/>
      <w:fldChar w:fldCharType="end"/>
    </w:r>
  </w:p>
  <w:p>
    <w:pPr>
      <w:pStyle w:val="Normal"/>
      <w:tabs>
        <w:tab w:val="clear" w:pos="720"/>
        <w:tab w:val="center" w:pos="4252" w:leader="none"/>
        <w:tab w:val="right" w:pos="8504" w:leader="none"/>
      </w:tabs>
      <w:spacing w:lineRule="auto" w:line="240" w:before="0" w:after="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000000"/>
      <w:kern w:val="0"/>
      <w:sz w:val="22"/>
      <w:szCs w:val="20"/>
      <w:lang w:val="es-ES" w:eastAsia="es-ES" w:bidi="ar-SA"/>
    </w:rPr>
  </w:style>
  <w:style w:type="paragraph" w:styleId="Ttulo1">
    <w:name w:val="Heading 1"/>
    <w:basedOn w:val="Normal"/>
    <w:next w:val="Normal"/>
    <w:qFormat/>
    <w:pPr>
      <w:keepNext w:val="true"/>
      <w:keepLines/>
      <w:spacing w:before="480" w:after="120"/>
      <w:contextualSpacing/>
      <w:outlineLvl w:val="0"/>
    </w:pPr>
    <w:rPr>
      <w:b/>
      <w:sz w:val="48"/>
    </w:rPr>
  </w:style>
  <w:style w:type="paragraph" w:styleId="Ttulo2">
    <w:name w:val="Heading 2"/>
    <w:basedOn w:val="Normal"/>
    <w:next w:val="Normal"/>
    <w:qFormat/>
    <w:pPr>
      <w:keepNext w:val="true"/>
      <w:keepLines/>
      <w:spacing w:before="360" w:after="80"/>
      <w:contextualSpacing/>
      <w:outlineLvl w:val="1"/>
    </w:pPr>
    <w:rPr>
      <w:b/>
      <w:sz w:val="36"/>
    </w:rPr>
  </w:style>
  <w:style w:type="paragraph" w:styleId="Ttulo3">
    <w:name w:val="Heading 3"/>
    <w:basedOn w:val="Normal"/>
    <w:next w:val="Normal"/>
    <w:qFormat/>
    <w:pPr>
      <w:keepNext w:val="true"/>
      <w:keepLines/>
      <w:spacing w:before="280" w:after="80"/>
      <w:contextualSpacing/>
      <w:outlineLvl w:val="2"/>
    </w:pPr>
    <w:rPr>
      <w:b/>
      <w:sz w:val="28"/>
    </w:rPr>
  </w:style>
  <w:style w:type="paragraph" w:styleId="Ttulo4">
    <w:name w:val="Heading 4"/>
    <w:basedOn w:val="Normal"/>
    <w:next w:val="Normal"/>
    <w:qFormat/>
    <w:pPr>
      <w:keepNext w:val="true"/>
      <w:keepLines/>
      <w:spacing w:before="240" w:after="40"/>
      <w:contextualSpacing/>
      <w:outlineLvl w:val="3"/>
    </w:pPr>
    <w:rPr>
      <w:b/>
      <w:sz w:val="24"/>
    </w:rPr>
  </w:style>
  <w:style w:type="paragraph" w:styleId="Ttulo5">
    <w:name w:val="Heading 5"/>
    <w:basedOn w:val="Normal"/>
    <w:next w:val="Normal"/>
    <w:qFormat/>
    <w:pPr>
      <w:keepNext w:val="true"/>
      <w:keepLines/>
      <w:spacing w:before="220" w:after="40"/>
      <w:contextualSpacing/>
      <w:outlineLvl w:val="4"/>
    </w:pPr>
    <w:rPr>
      <w:b/>
    </w:rPr>
  </w:style>
  <w:style w:type="paragraph" w:styleId="Ttulo6">
    <w:name w:val="Heading 6"/>
    <w:basedOn w:val="Normal"/>
    <w:next w:val="Normal"/>
    <w:qFormat/>
    <w:pPr>
      <w:keepNext w:val="true"/>
      <w:keepLines/>
      <w:spacing w:before="200" w:after="40"/>
      <w:contextualSpacing/>
      <w:outlineLvl w:val="5"/>
    </w:pPr>
    <w:rPr>
      <w:b/>
      <w:sz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fe5bca"/>
    <w:rPr>
      <w:rFonts w:ascii="Tahoma" w:hAnsi="Tahoma" w:cs="Tahoma"/>
      <w:sz w:val="16"/>
      <w:szCs w:val="16"/>
    </w:rPr>
  </w:style>
  <w:style w:type="character" w:styleId="EncabezadoCar" w:customStyle="1">
    <w:name w:val="Encabezado Car"/>
    <w:basedOn w:val="DefaultParagraphFont"/>
    <w:link w:val="Encabezado"/>
    <w:uiPriority w:val="99"/>
    <w:qFormat/>
    <w:rsid w:val="00475d56"/>
    <w:rPr/>
  </w:style>
  <w:style w:type="character" w:styleId="PiedepginaCar" w:customStyle="1">
    <w:name w:val="Pie de página Car"/>
    <w:basedOn w:val="DefaultParagraphFont"/>
    <w:link w:val="Piedepgina"/>
    <w:uiPriority w:val="99"/>
    <w:qFormat/>
    <w:rsid w:val="00475d56"/>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sz w:val="24"/>
    </w:rPr>
  </w:style>
  <w:style w:type="character" w:styleId="ListLabel11">
    <w:name w:val="ListLabel 11"/>
    <w:qFormat/>
    <w:rPr>
      <w:rFonts w:eastAsia="Arial" w:cs="Arial"/>
    </w:rPr>
  </w:style>
  <w:style w:type="character" w:styleId="ListLabel12">
    <w:name w:val="ListLabel 12"/>
    <w:qFormat/>
    <w:rPr>
      <w:rFonts w:eastAsia="Arial" w:cs="Arial"/>
    </w:rPr>
  </w:style>
  <w:style w:type="character" w:styleId="ListLabel13">
    <w:name w:val="ListLabel 13"/>
    <w:qFormat/>
    <w:rPr>
      <w:rFonts w:eastAsia="Arial" w:cs="Arial"/>
    </w:rPr>
  </w:style>
  <w:style w:type="character" w:styleId="ListLabel14">
    <w:name w:val="ListLabel 14"/>
    <w:qFormat/>
    <w:rPr>
      <w:rFonts w:eastAsia="Arial" w:cs="Arial"/>
    </w:rPr>
  </w:style>
  <w:style w:type="character" w:styleId="ListLabel15">
    <w:name w:val="ListLabel 15"/>
    <w:qFormat/>
    <w:rPr>
      <w:rFonts w:eastAsia="Arial" w:cs="Arial"/>
    </w:rPr>
  </w:style>
  <w:style w:type="character" w:styleId="ListLabel16">
    <w:name w:val="ListLabel 16"/>
    <w:qFormat/>
    <w:rPr>
      <w:rFonts w:eastAsia="Arial" w:cs="Arial"/>
    </w:rPr>
  </w:style>
  <w:style w:type="character" w:styleId="ListLabel17">
    <w:name w:val="ListLabel 17"/>
    <w:qFormat/>
    <w:rPr>
      <w:rFonts w:eastAsia="Arial" w:cs="Arial"/>
    </w:rPr>
  </w:style>
  <w:style w:type="character" w:styleId="ListLabel18">
    <w:name w:val="ListLabel 18"/>
    <w:qFormat/>
    <w:rPr>
      <w:rFonts w:eastAsia="Arial" w:cs="Arial"/>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qFormat/>
    <w:pPr>
      <w:keepNext w:val="true"/>
      <w:keepLines/>
      <w:spacing w:before="480" w:after="120"/>
      <w:contextualSpacing/>
    </w:pPr>
    <w:rPr>
      <w:b/>
      <w:sz w:val="72"/>
    </w:rPr>
  </w:style>
  <w:style w:type="paragraph" w:styleId="Subttulo">
    <w:name w:val="Subtitle"/>
    <w:basedOn w:val="Normal"/>
    <w:next w:val="Normal"/>
    <w:qFormat/>
    <w:pPr>
      <w:keepNext w:val="true"/>
      <w:keepLines/>
      <w:spacing w:before="360" w:after="80"/>
      <w:contextualSpacing/>
    </w:pPr>
    <w:rPr>
      <w:rFonts w:ascii="Georgia" w:hAnsi="Georgia" w:eastAsia="Georgia" w:cs="Georgia"/>
      <w:i/>
      <w:color w:val="666666"/>
      <w:sz w:val="48"/>
    </w:rPr>
  </w:style>
  <w:style w:type="paragraph" w:styleId="BalloonText">
    <w:name w:val="Balloon Text"/>
    <w:basedOn w:val="Normal"/>
    <w:link w:val="TextodegloboCar"/>
    <w:uiPriority w:val="99"/>
    <w:semiHidden/>
    <w:unhideWhenUsed/>
    <w:qFormat/>
    <w:rsid w:val="00fe5bca"/>
    <w:pPr>
      <w:spacing w:lineRule="auto" w:line="240" w:before="0" w:after="0"/>
    </w:pPr>
    <w:rPr>
      <w:rFonts w:ascii="Tahoma" w:hAnsi="Tahoma" w:cs="Tahoma"/>
      <w:sz w:val="16"/>
      <w:szCs w:val="16"/>
    </w:rPr>
  </w:style>
  <w:style w:type="paragraph" w:styleId="ListParagraph">
    <w:name w:val="List Paragraph"/>
    <w:basedOn w:val="Normal"/>
    <w:uiPriority w:val="34"/>
    <w:qFormat/>
    <w:rsid w:val="00fc5567"/>
    <w:pPr>
      <w:spacing w:before="0" w:after="200"/>
      <w:ind w:left="720" w:hanging="0"/>
      <w:contextualSpacing/>
    </w:pPr>
    <w:rPr>
      <w:rFonts w:ascii="Calibri" w:hAnsi="Calibri" w:eastAsia="" w:cs="" w:asciiTheme="minorHAnsi" w:cstheme="minorBidi" w:eastAsiaTheme="minorEastAsia" w:hAnsiTheme="minorHAnsi"/>
      <w:color w:val="auto"/>
      <w:szCs w:val="22"/>
    </w:rPr>
  </w:style>
  <w:style w:type="paragraph" w:styleId="Cabecera">
    <w:name w:val="Header"/>
    <w:basedOn w:val="Normal"/>
    <w:link w:val="EncabezadoCar"/>
    <w:uiPriority w:val="99"/>
    <w:unhideWhenUsed/>
    <w:rsid w:val="00475d56"/>
    <w:pPr>
      <w:tabs>
        <w:tab w:val="clear" w:pos="720"/>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475d56"/>
    <w:pPr>
      <w:tabs>
        <w:tab w:val="clear" w:pos="720"/>
        <w:tab w:val="center" w:pos="4252" w:leader="none"/>
        <w:tab w:val="right" w:pos="8504" w:leader="none"/>
      </w:tabs>
      <w:spacing w:lineRule="auto" w:line="240" w:before="0" w:after="0"/>
    </w:pPr>
    <w:rPr/>
  </w:style>
  <w:style w:type="paragraph" w:styleId="Parrafoconapartados1">
    <w:name w:val="Parrafo con apartados 1)"/>
    <w:basedOn w:val="Normal"/>
    <w:qFormat/>
    <w:pPr>
      <w:keepLines/>
      <w:spacing w:lineRule="exact" w:line="220" w:before="40" w:after="40"/>
      <w:jc w:val="both"/>
    </w:pPr>
    <w:rPr>
      <w:rFonts w:ascii="Times New Roman" w:hAnsi="Times New Roman"/>
      <w:sz w:val="22"/>
      <w:lang w:val="es-ES_tradnl"/>
    </w:rPr>
  </w:style>
  <w:style w:type="paragraph" w:styleId="Default">
    <w:name w:val="Default"/>
    <w:qFormat/>
    <w:pPr>
      <w:widowControl/>
      <w:bidi w:val="0"/>
      <w:jc w:val="left"/>
    </w:pPr>
    <w:rPr>
      <w:rFonts w:ascii="Arial" w:hAnsi="Arial" w:eastAsia="Calibri" w:cs="Arial" w:eastAsiaTheme="minorHAnsi"/>
      <w:color w:val="000000"/>
      <w:kern w:val="0"/>
      <w:sz w:val="24"/>
      <w:szCs w:val="24"/>
      <w:lang w:val="es-ES" w:eastAsia="en-US" w:bidi="ar-SA"/>
    </w:rPr>
  </w:style>
  <w:style w:type="paragraph" w:styleId="Pa8">
    <w:name w:val="Pa8"/>
    <w:basedOn w:val="Default"/>
    <w:next w:val="Default"/>
    <w:qFormat/>
    <w:pPr>
      <w:spacing w:lineRule="atLeast" w:line="201" w:before="160" w:after="0"/>
    </w:pPr>
    <w:rPr>
      <w:color w:val="auto"/>
    </w:rPr>
  </w:style>
  <w:style w:type="paragraph" w:styleId="Pa6">
    <w:name w:val="Pa6"/>
    <w:basedOn w:val="Normal"/>
    <w:next w:val="Normal"/>
    <w:qFormat/>
    <w:pPr>
      <w:spacing w:lineRule="atLeast" w:line="201"/>
    </w:pPr>
    <w:rPr>
      <w:rFonts w:eastAsia="Calibri" w:cs="Arial" w:eastAsiaTheme="minorHAnsi"/>
      <w:szCs w:val="24"/>
      <w:lang w:eastAsia="en-US"/>
    </w:rPr>
  </w:style>
  <w:style w:type="paragraph" w:styleId="Pa15">
    <w:name w:val="Pa15"/>
    <w:basedOn w:val="Default"/>
    <w:next w:val="Default"/>
    <w:qFormat/>
    <w:pPr>
      <w:spacing w:lineRule="atLeast" w:line="161"/>
    </w:pPr>
    <w:rPr>
      <w:color w:val="auto"/>
    </w:rPr>
  </w:style>
  <w:style w:type="paragraph" w:styleId="Pa16">
    <w:name w:val="Pa16"/>
    <w:basedOn w:val="Default"/>
    <w:next w:val="Default"/>
    <w:qFormat/>
    <w:pPr>
      <w:spacing w:lineRule="atLeast" w:line="181"/>
    </w:pPr>
    <w:rPr>
      <w:color w:val="auto"/>
    </w:rPr>
  </w:style>
  <w:style w:type="paragraph" w:styleId="Pa17">
    <w:name w:val="Pa17"/>
    <w:basedOn w:val="Default"/>
    <w:next w:val="Default"/>
    <w:qFormat/>
    <w:pPr>
      <w:spacing w:lineRule="atLeast" w:line="181"/>
    </w:pPr>
    <w:rPr>
      <w:color w:val="auto"/>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296fde"/>
    <w:pPr>
      <w:spacing w:after="0" w:line="240" w:lineRule="auto"/>
    </w:pPr>
    <w:rPr>
      <w:rFonts w:asciiTheme="minorHAnsi" w:hAnsiTheme="minorHAnsi" w:eastAsiaTheme="minorHAnsi" w:cstheme="minorBidi"/>
      <w:lang w:eastAsia="en-US"/>
      <w:color w:val="auto"/>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LibreOffice/6.2.8.2$Windows_x86 LibreOffice_project/f82ddfca21ebc1e222a662a32b25c0c9d20169ee</Application>
  <Pages>3</Pages>
  <Words>1023</Words>
  <Characters>5689</Characters>
  <CharactersWithSpaces>6734</CharactersWithSpaces>
  <Paragraphs>50</Paragraphs>
  <Company>MINISTERIO DE DEFENSA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2019-11-22T11:14:00Z</dcterms:created>
  <dc:creator>CLAVERIA GORRIA CELIA M</dc:creator>
  <dc:description/>
  <dc:language>es-ES</dc:language>
  <cp:lastModifiedBy/>
  <cp:lastPrinted>2018-01-30T10:59:00Z</cp:lastPrinted>
  <dcterms:modified xsi:type="dcterms:W3CDTF">2021-09-20T10:10:22Z</dcterms:modified>
  <cp:revision>11</cp:revision>
  <dc:subject/>
  <dc:title>BASES PERSONAL ESTATUT TEMP TECNICOS RX 2014 con organo seleccion.docx.docx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MINISTERIO DE DEFENSA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